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val="hu-HU"/>
        </w:rPr>
        <w:drawing>
          <wp:inline distT="0" distB="0" distL="0" distR="0">
            <wp:extent cx="3695700" cy="3695700"/>
            <wp:effectExtent l="0" t="0" r="0" b="0"/>
            <wp:docPr id="13" name="image3.jpg" descr="sinosz_tolmacs_logo_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sinosz_tolmacs_logo_ok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SIKETEK </w:t>
      </w:r>
      <w:proofErr w:type="gramStart"/>
      <w:r>
        <w:rPr>
          <w:rFonts w:ascii="Arial" w:eastAsia="Arial" w:hAnsi="Arial" w:cs="Arial"/>
          <w:b/>
          <w:bCs/>
          <w:color w:val="000000"/>
          <w:sz w:val="32"/>
          <w:szCs w:val="32"/>
        </w:rPr>
        <w:t>ÉS</w:t>
      </w:r>
      <w:proofErr w:type="gramEnd"/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NAGYOTHALLÓK ORSZÁGOS SZÖVETSÉGE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Arial" w:eastAsia="Arial" w:hAnsi="Arial" w:cs="Arial"/>
          <w:b/>
          <w:bCs/>
          <w:color w:val="000000"/>
          <w:sz w:val="36"/>
          <w:szCs w:val="36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>BÁCS-KISKUN VÁRMEGYEI JELNYELVI TOLMÁCSSZOLGÁLATA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Arial" w:eastAsia="Arial" w:hAnsi="Arial" w:cs="Arial"/>
          <w:b/>
          <w:bCs/>
          <w:color w:val="000000"/>
          <w:sz w:val="36"/>
          <w:szCs w:val="36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Arial" w:eastAsia="Arial" w:hAnsi="Arial" w:cs="Arial"/>
          <w:b/>
          <w:bCs/>
          <w:color w:val="000000"/>
          <w:sz w:val="36"/>
          <w:szCs w:val="36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Arial" w:eastAsia="Arial" w:hAnsi="Arial" w:cs="Arial"/>
          <w:b/>
          <w:bCs/>
          <w:color w:val="000000"/>
          <w:sz w:val="56"/>
          <w:szCs w:val="56"/>
        </w:rPr>
      </w:pPr>
      <w:r>
        <w:rPr>
          <w:rFonts w:ascii="Arial" w:eastAsia="Arial" w:hAnsi="Arial" w:cs="Arial"/>
          <w:b/>
          <w:bCs/>
          <w:color w:val="000000"/>
          <w:sz w:val="56"/>
          <w:szCs w:val="56"/>
        </w:rPr>
        <w:t>SZOLGÁLTATÁSI REND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Érvényes: 2026. </w:t>
      </w:r>
      <w:r w:rsidR="0053501F">
        <w:rPr>
          <w:rFonts w:ascii="Arial" w:eastAsia="Arial" w:hAnsi="Arial" w:cs="Arial"/>
        </w:rPr>
        <w:t>június</w:t>
      </w:r>
      <w:r>
        <w:rPr>
          <w:rFonts w:ascii="Arial" w:eastAsia="Arial" w:hAnsi="Arial" w:cs="Arial"/>
          <w:color w:val="000000"/>
        </w:rPr>
        <w:t xml:space="preserve"> 1-től visszavonásig</w:t>
      </w:r>
    </w:p>
    <w:p w:rsidR="00521BB9" w:rsidRDefault="005D6D9D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9214"/>
        </w:tabs>
        <w:spacing w:before="480" w:after="0"/>
        <w:ind w:right="380"/>
        <w:rPr>
          <w:rFonts w:ascii="Cambria" w:eastAsia="Cambria" w:hAnsi="Cambria" w:cs="Cambria"/>
          <w:b/>
          <w:bCs/>
          <w:color w:val="366091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366091"/>
          <w:sz w:val="28"/>
          <w:szCs w:val="28"/>
        </w:rPr>
        <w:lastRenderedPageBreak/>
        <w:t>Tartalomjegyzék</w:t>
      </w:r>
    </w:p>
    <w:p w:rsidR="00521BB9" w:rsidRDefault="00521BB9"/>
    <w:sdt>
      <w:sdtPr>
        <w:id w:val="324247704"/>
        <w:docPartObj>
          <w:docPartGallery w:val="Table of Contents"/>
          <w:docPartUnique/>
        </w:docPartObj>
      </w:sdtPr>
      <w:sdtEndPr/>
      <w:sdtContent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</w:tabs>
            <w:spacing w:after="100"/>
            <w:ind w:left="426" w:right="380" w:hanging="426"/>
            <w:rPr>
              <w:noProof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o0ov6dk2f8y9">
            <w:r>
              <w:rPr>
                <w:b/>
                <w:bCs/>
                <w:color w:val="000000"/>
              </w:rPr>
              <w:t>1.</w:t>
            </w:r>
          </w:hyperlink>
          <w:hyperlink w:anchor="_heading=h.o0ov6dk2f8y9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_heading=h.o0ov6dk2f8y9 \h </w:instrText>
          </w:r>
          <w:r>
            <w:fldChar w:fldCharType="separate"/>
          </w:r>
          <w:r>
            <w:rPr>
              <w:b/>
              <w:bCs/>
              <w:noProof/>
              <w:color w:val="000000"/>
            </w:rPr>
            <w:t>A Jelnyelvi Tolmácsszolgálatunk elérhetőségei</w:t>
          </w:r>
          <w:hyperlink w:anchor="_heading=h.o0ov6dk2f8y9" w:history="1"/>
          <w:r>
            <w:rPr>
              <w:noProof/>
              <w:color w:val="000000"/>
            </w:rPr>
            <w:tab/>
            <w:t>3</w:t>
          </w:r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</w:tabs>
            <w:spacing w:after="100"/>
            <w:ind w:left="426" w:right="380" w:hanging="426"/>
            <w:rPr>
              <w:noProof/>
              <w:color w:val="000000"/>
            </w:rPr>
          </w:pPr>
          <w:r>
            <w:fldChar w:fldCharType="end"/>
          </w:r>
          <w:hyperlink w:anchor="_heading=h.s42s7njk3vl8">
            <w:r>
              <w:rPr>
                <w:b/>
                <w:bCs/>
                <w:color w:val="000000"/>
              </w:rPr>
              <w:t>2.</w:t>
            </w:r>
          </w:hyperlink>
          <w:hyperlink w:anchor="_heading=h.s42s7njk3vl8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_heading=h.s42s7njk3vl8 \h </w:instrText>
          </w:r>
          <w:r>
            <w:fldChar w:fldCharType="separate"/>
          </w:r>
          <w:r>
            <w:rPr>
              <w:b/>
              <w:bCs/>
              <w:noProof/>
              <w:color w:val="000000"/>
            </w:rPr>
            <w:t>A Jelnyelvi Tolmácsszolgálatunk ellátási területe</w:t>
          </w:r>
          <w:hyperlink w:anchor="_heading=h.s42s7njk3vl8" w:history="1"/>
          <w:r>
            <w:rPr>
              <w:noProof/>
              <w:color w:val="000000"/>
            </w:rPr>
            <w:tab/>
            <w:t>3</w:t>
          </w:r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</w:tabs>
            <w:spacing w:after="100"/>
            <w:ind w:left="426" w:right="380" w:hanging="426"/>
            <w:rPr>
              <w:noProof/>
              <w:color w:val="000000"/>
            </w:rPr>
          </w:pPr>
          <w:r>
            <w:fldChar w:fldCharType="end"/>
          </w:r>
          <w:hyperlink w:anchor="_heading=h.g4iiaaykdhzm">
            <w:r>
              <w:rPr>
                <w:b/>
                <w:bCs/>
                <w:color w:val="000000"/>
              </w:rPr>
              <w:t>3.</w:t>
            </w:r>
          </w:hyperlink>
          <w:hyperlink w:anchor="_heading=h.g4iiaaykdhzm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_heading=h.g4iiaaykdhzm \h </w:instrText>
          </w:r>
          <w:r>
            <w:fldChar w:fldCharType="separate"/>
          </w:r>
          <w:r>
            <w:rPr>
              <w:b/>
              <w:bCs/>
              <w:noProof/>
              <w:color w:val="000000"/>
            </w:rPr>
            <w:t>A Jelnyelvi Tolmácsszolgálatunk ügyfélfogadási és készenléti időbeosztása</w:t>
          </w:r>
          <w:hyperlink w:anchor="_heading=h.g4iiaaykdhzm" w:history="1"/>
          <w:r>
            <w:rPr>
              <w:noProof/>
              <w:color w:val="000000"/>
            </w:rPr>
            <w:tab/>
            <w:t>3</w:t>
          </w:r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</w:tabs>
            <w:spacing w:after="100"/>
            <w:ind w:left="426" w:right="380" w:hanging="426"/>
            <w:rPr>
              <w:noProof/>
              <w:color w:val="000000"/>
            </w:rPr>
          </w:pPr>
          <w:r>
            <w:fldChar w:fldCharType="end"/>
          </w:r>
          <w:hyperlink w:anchor="_heading=h.qo6ru0z70jmy">
            <w:r>
              <w:rPr>
                <w:b/>
                <w:bCs/>
                <w:color w:val="000000"/>
              </w:rPr>
              <w:t>4.</w:t>
            </w:r>
          </w:hyperlink>
          <w:hyperlink w:anchor="_heading=h.qo6ru0z70jmy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_heading=h.qo6ru0z70jmy \h </w:instrText>
          </w:r>
          <w:r>
            <w:fldChar w:fldCharType="separate"/>
          </w:r>
          <w:r>
            <w:rPr>
              <w:b/>
              <w:bCs/>
              <w:noProof/>
              <w:color w:val="000000"/>
            </w:rPr>
            <w:t>A Jelnyelvi Tolmácsszolgálat által nyújtott tolmácsolási típusok és módok jegyzéke</w:t>
          </w:r>
          <w:hyperlink w:anchor="_heading=h.qo6ru0z70jmy" w:history="1"/>
          <w:r>
            <w:rPr>
              <w:noProof/>
              <w:color w:val="000000"/>
            </w:rPr>
            <w:tab/>
            <w:t>4</w:t>
          </w:r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left" w:pos="9214"/>
              <w:tab w:val="right" w:pos="9868"/>
            </w:tabs>
            <w:spacing w:after="100"/>
            <w:ind w:left="220" w:right="380"/>
            <w:rPr>
              <w:noProof/>
              <w:color w:val="000000"/>
            </w:rPr>
          </w:pPr>
          <w:r>
            <w:fldChar w:fldCharType="end"/>
          </w:r>
          <w:hyperlink w:anchor="_heading=h.mbjji0nwf7iu">
            <w:r>
              <w:rPr>
                <w:b/>
                <w:bCs/>
                <w:color w:val="000000"/>
              </w:rPr>
              <w:t>a.</w:t>
            </w:r>
          </w:hyperlink>
          <w:hyperlink w:anchor="_heading=h.mbjji0nwf7iu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_heading=h.mbjji0nwf7iu \h </w:instrText>
          </w:r>
          <w:r>
            <w:fldChar w:fldCharType="separate"/>
          </w:r>
          <w:r>
            <w:rPr>
              <w:b/>
              <w:bCs/>
              <w:noProof/>
              <w:color w:val="000000"/>
            </w:rPr>
            <w:t>Tolmácsolási típusok</w:t>
          </w:r>
          <w:hyperlink w:anchor="_heading=h.mbjji0nwf7iu" w:history="1"/>
          <w:r>
            <w:rPr>
              <w:noProof/>
              <w:color w:val="000000"/>
            </w:rPr>
            <w:tab/>
            <w:t>4</w:t>
          </w:r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left" w:pos="9214"/>
              <w:tab w:val="right" w:pos="9868"/>
            </w:tabs>
            <w:spacing w:after="100"/>
            <w:ind w:left="220" w:right="380"/>
            <w:rPr>
              <w:noProof/>
              <w:color w:val="000000"/>
            </w:rPr>
          </w:pPr>
          <w:r>
            <w:fldChar w:fldCharType="end"/>
          </w:r>
          <w:hyperlink w:anchor="_heading=h.mmhryp7nl675">
            <w:r>
              <w:rPr>
                <w:b/>
                <w:bCs/>
                <w:color w:val="000000"/>
              </w:rPr>
              <w:t>b.</w:t>
            </w:r>
          </w:hyperlink>
          <w:hyperlink w:anchor="_heading=h.mmhryp7nl675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_heading=h.mmhryp7nl675 \h </w:instrText>
          </w:r>
          <w:r>
            <w:fldChar w:fldCharType="separate"/>
          </w:r>
          <w:r>
            <w:rPr>
              <w:b/>
              <w:bCs/>
              <w:noProof/>
              <w:color w:val="000000"/>
            </w:rPr>
            <w:t>Tolmácsolási módok</w:t>
          </w:r>
          <w:hyperlink w:anchor="_heading=h.mmhryp7nl675" w:history="1"/>
          <w:r>
            <w:rPr>
              <w:noProof/>
              <w:color w:val="000000"/>
            </w:rPr>
            <w:tab/>
            <w:t>4</w:t>
          </w:r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</w:tabs>
            <w:spacing w:after="100"/>
            <w:ind w:left="426" w:right="380" w:hanging="426"/>
            <w:rPr>
              <w:noProof/>
              <w:color w:val="000000"/>
            </w:rPr>
          </w:pPr>
          <w:r>
            <w:fldChar w:fldCharType="end"/>
          </w:r>
          <w:hyperlink w:anchor="_heading=h.oj3dz6ibonbc">
            <w:r>
              <w:rPr>
                <w:b/>
                <w:bCs/>
                <w:color w:val="000000"/>
              </w:rPr>
              <w:t>5.</w:t>
            </w:r>
          </w:hyperlink>
          <w:hyperlink w:anchor="_heading=h.oj3dz6ibonbc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_heading=h.oj3dz6ibonbc \h </w:instrText>
          </w:r>
          <w:r>
            <w:fldChar w:fldCharType="separate"/>
          </w:r>
          <w:r>
            <w:rPr>
              <w:b/>
              <w:bCs/>
              <w:noProof/>
              <w:color w:val="000000"/>
            </w:rPr>
            <w:t>A Jelnyelvi Tolmácsszolgálatunk munkatársai</w:t>
          </w:r>
          <w:hyperlink w:anchor="_heading=h.oj3dz6ibonbc" w:history="1"/>
          <w:r>
            <w:rPr>
              <w:noProof/>
              <w:color w:val="000000"/>
            </w:rPr>
            <w:tab/>
            <w:t>4</w:t>
          </w:r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</w:tabs>
            <w:spacing w:after="100"/>
            <w:ind w:left="426" w:right="380" w:hanging="426"/>
            <w:rPr>
              <w:noProof/>
              <w:color w:val="000000"/>
            </w:rPr>
          </w:pPr>
          <w:r>
            <w:fldChar w:fldCharType="end"/>
          </w:r>
          <w:hyperlink w:anchor="_heading=h.x36wspt9ev58">
            <w:r>
              <w:rPr>
                <w:b/>
                <w:bCs/>
                <w:color w:val="000000"/>
              </w:rPr>
              <w:t>6.</w:t>
            </w:r>
          </w:hyperlink>
          <w:hyperlink w:anchor="_heading=h.x36wspt9ev58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_heading=h.x36wspt9ev58 \h </w:instrText>
          </w:r>
          <w:r>
            <w:fldChar w:fldCharType="separate"/>
          </w:r>
          <w:r>
            <w:rPr>
              <w:b/>
              <w:bCs/>
              <w:noProof/>
              <w:color w:val="000000"/>
            </w:rPr>
            <w:t>Szolgáltatásaink igénybevételének módja, menete</w:t>
          </w:r>
          <w:hyperlink w:anchor="_heading=h.x36wspt9ev58" w:history="1"/>
          <w:r>
            <w:rPr>
              <w:noProof/>
              <w:color w:val="000000"/>
            </w:rPr>
            <w:tab/>
            <w:t>6</w:t>
          </w:r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left" w:pos="9214"/>
              <w:tab w:val="right" w:pos="9868"/>
            </w:tabs>
            <w:spacing w:after="100"/>
            <w:ind w:left="220" w:right="380"/>
            <w:rPr>
              <w:noProof/>
              <w:color w:val="000000"/>
            </w:rPr>
          </w:pPr>
          <w:r>
            <w:fldChar w:fldCharType="end"/>
          </w:r>
          <w:hyperlink w:anchor="_heading=h.i1uq7t5xjchd">
            <w:r>
              <w:rPr>
                <w:b/>
                <w:bCs/>
                <w:color w:val="000000"/>
              </w:rPr>
              <w:t>a.</w:t>
            </w:r>
          </w:hyperlink>
          <w:hyperlink w:anchor="_heading=h.i1uq7t5xjchd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_heading=h.i1uq7t5xjchd \h </w:instrText>
          </w:r>
          <w:r>
            <w:fldChar w:fldCharType="separate"/>
          </w:r>
          <w:r>
            <w:rPr>
              <w:b/>
              <w:bCs/>
              <w:noProof/>
              <w:color w:val="000000"/>
            </w:rPr>
            <w:t>Térítésmentes jelnyelvi tolmácsszolgáltatás és annak igénybevételének feltételei</w:t>
          </w:r>
          <w:hyperlink w:anchor="_heading=h.i1uq7t5xjchd" w:history="1"/>
          <w:r>
            <w:rPr>
              <w:noProof/>
              <w:color w:val="000000"/>
            </w:rPr>
            <w:tab/>
            <w:t>6</w:t>
          </w:r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  <w:tab w:val="right" w:pos="9868"/>
            </w:tabs>
            <w:spacing w:after="100"/>
            <w:ind w:left="440" w:right="380"/>
            <w:rPr>
              <w:color w:val="000000"/>
            </w:rPr>
          </w:pPr>
          <w:r>
            <w:fldChar w:fldCharType="end"/>
          </w:r>
          <w:hyperlink w:anchor="_heading=h.b6tceac4vnsm">
            <w:r>
              <w:rPr>
                <w:b/>
                <w:bCs/>
                <w:color w:val="000000"/>
              </w:rPr>
              <w:t>Térítésmentes jelnyelvi tolmácsolási helyzetek</w:t>
            </w:r>
          </w:hyperlink>
          <w:hyperlink w:anchor="_heading=h.b6tceac4vnsm">
            <w:r>
              <w:rPr>
                <w:color w:val="000000"/>
              </w:rPr>
              <w:tab/>
              <w:t>6</w:t>
            </w:r>
          </w:hyperlink>
        </w:p>
        <w:p w:rsidR="00521BB9" w:rsidRDefault="00B80A6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  <w:tab w:val="right" w:pos="9868"/>
            </w:tabs>
            <w:spacing w:after="100"/>
            <w:ind w:left="440" w:right="380"/>
            <w:rPr>
              <w:color w:val="000000"/>
            </w:rPr>
          </w:pPr>
          <w:hyperlink w:anchor="_heading=h.js0jqolu81tc">
            <w:r w:rsidR="005D6D9D">
              <w:rPr>
                <w:b/>
                <w:bCs/>
                <w:color w:val="000000"/>
              </w:rPr>
              <w:t>A térítésmentes jelnyelvi tolmácsszolgáltatásra való jogosultság meghatározása</w:t>
            </w:r>
          </w:hyperlink>
          <w:hyperlink w:anchor="_heading=h.js0jqolu81tc">
            <w:r w:rsidR="005D6D9D">
              <w:rPr>
                <w:color w:val="000000"/>
              </w:rPr>
              <w:tab/>
              <w:t>7</w:t>
            </w:r>
          </w:hyperlink>
        </w:p>
        <w:p w:rsidR="00521BB9" w:rsidRDefault="00B80A6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  <w:tab w:val="right" w:pos="9868"/>
            </w:tabs>
            <w:spacing w:after="100"/>
            <w:ind w:left="440" w:right="380"/>
            <w:rPr>
              <w:noProof/>
              <w:color w:val="000000"/>
            </w:rPr>
          </w:pPr>
          <w:hyperlink w:anchor="_heading=h.k5h6v7a3dz51">
            <w:r w:rsidR="005D6D9D">
              <w:rPr>
                <w:b/>
                <w:bCs/>
                <w:color w:val="000000"/>
              </w:rPr>
              <w:t>A térítésmentes jelnyelvi tolmácsszolgáltatás időkeretei</w:t>
            </w:r>
          </w:hyperlink>
          <w:hyperlink w:anchor="_heading=h.k5h6v7a3dz51">
            <w:r w:rsidR="005D6D9D">
              <w:rPr>
                <w:color w:val="000000"/>
              </w:rPr>
              <w:tab/>
            </w:r>
          </w:hyperlink>
          <w:r w:rsidR="005D6D9D">
            <w:fldChar w:fldCharType="begin"/>
          </w:r>
          <w:r w:rsidR="005D6D9D">
            <w:instrText xml:space="preserve"> PAGEREF _heading=h.k5h6v7a3dz51 \h </w:instrText>
          </w:r>
          <w:r w:rsidR="005D6D9D">
            <w:fldChar w:fldCharType="separate"/>
          </w:r>
          <w:r w:rsidR="005D6D9D">
            <w:rPr>
              <w:b/>
              <w:bCs/>
              <w:noProof/>
              <w:color w:val="000000"/>
            </w:rPr>
            <w:t>Hiba! A könyvjelző nem létezik.</w:t>
          </w:r>
          <w:hyperlink w:anchor="_heading=h.k5h6v7a3dz51" w:history="1"/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  <w:tab w:val="right" w:pos="9868"/>
            </w:tabs>
            <w:spacing w:after="100"/>
            <w:ind w:left="440" w:right="380"/>
            <w:rPr>
              <w:color w:val="000000"/>
            </w:rPr>
          </w:pPr>
          <w:r>
            <w:fldChar w:fldCharType="end"/>
          </w:r>
          <w:hyperlink w:anchor="_heading=h.k3ypk0r4r5u7">
            <w:r>
              <w:rPr>
                <w:b/>
                <w:bCs/>
                <w:color w:val="000000"/>
              </w:rPr>
              <w:t>A térítésmentes jelnyelvi tolmácsszolgáltatásra, valamint a speciális órakeret igénybevételéhez való jogosultság igazolásának módja</w:t>
            </w:r>
          </w:hyperlink>
          <w:hyperlink w:anchor="_heading=h.k3ypk0r4r5u7">
            <w:r>
              <w:rPr>
                <w:color w:val="000000"/>
              </w:rPr>
              <w:tab/>
              <w:t>8</w:t>
            </w:r>
          </w:hyperlink>
        </w:p>
        <w:p w:rsidR="00521BB9" w:rsidRDefault="00B80A6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  <w:tab w:val="right" w:pos="9868"/>
            </w:tabs>
            <w:spacing w:after="100"/>
            <w:ind w:left="440" w:right="380"/>
            <w:rPr>
              <w:color w:val="000000"/>
            </w:rPr>
          </w:pPr>
          <w:hyperlink w:anchor="_heading=h.bcld6deo8me5">
            <w:r w:rsidR="005D6D9D">
              <w:rPr>
                <w:b/>
                <w:bCs/>
                <w:color w:val="000000"/>
              </w:rPr>
              <w:t>Eljárásrend a térítésmentes jelnyelvi tolmácsszolgáltatás időkereteinek kimerülése esetén</w:t>
            </w:r>
          </w:hyperlink>
          <w:hyperlink w:anchor="_heading=h.bcld6deo8me5">
            <w:r w:rsidR="005D6D9D">
              <w:rPr>
                <w:color w:val="000000"/>
              </w:rPr>
              <w:tab/>
              <w:t>8</w:t>
            </w:r>
          </w:hyperlink>
        </w:p>
        <w:p w:rsidR="00521BB9" w:rsidRDefault="00B80A6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left" w:pos="9214"/>
              <w:tab w:val="right" w:pos="9868"/>
            </w:tabs>
            <w:spacing w:after="100"/>
            <w:ind w:left="220" w:right="380"/>
            <w:rPr>
              <w:noProof/>
              <w:color w:val="000000"/>
            </w:rPr>
          </w:pPr>
          <w:hyperlink w:anchor="_heading=h.8b9k8ol4447a">
            <w:r w:rsidR="005D6D9D">
              <w:rPr>
                <w:b/>
                <w:bCs/>
                <w:color w:val="000000"/>
              </w:rPr>
              <w:t>b.</w:t>
            </w:r>
          </w:hyperlink>
          <w:hyperlink w:anchor="_heading=h.8b9k8ol4447a">
            <w:r w:rsidR="005D6D9D">
              <w:rPr>
                <w:color w:val="000000"/>
              </w:rPr>
              <w:tab/>
            </w:r>
          </w:hyperlink>
          <w:r w:rsidR="005D6D9D">
            <w:fldChar w:fldCharType="begin"/>
          </w:r>
          <w:r w:rsidR="005D6D9D">
            <w:instrText xml:space="preserve"> PAGEREF _heading=h.8b9k8ol4447a \h </w:instrText>
          </w:r>
          <w:r w:rsidR="005D6D9D">
            <w:fldChar w:fldCharType="separate"/>
          </w:r>
          <w:r w:rsidR="005D6D9D">
            <w:rPr>
              <w:b/>
              <w:bCs/>
              <w:noProof/>
              <w:color w:val="000000"/>
            </w:rPr>
            <w:t>Költségtérítéses jelnyelvi tolmácsszolgáltatás és annak díjjegyzéke</w:t>
          </w:r>
          <w:hyperlink w:anchor="_heading=h.8b9k8ol4447a" w:history="1"/>
          <w:r w:rsidR="005D6D9D">
            <w:rPr>
              <w:noProof/>
              <w:color w:val="000000"/>
            </w:rPr>
            <w:tab/>
            <w:t>8</w:t>
          </w:r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left" w:pos="9214"/>
              <w:tab w:val="right" w:pos="9868"/>
            </w:tabs>
            <w:spacing w:after="100"/>
            <w:ind w:left="220" w:right="380"/>
            <w:rPr>
              <w:noProof/>
              <w:color w:val="000000"/>
            </w:rPr>
          </w:pPr>
          <w:r>
            <w:fldChar w:fldCharType="end"/>
          </w:r>
          <w:hyperlink w:anchor="_heading=h.89f1ils2j7fm">
            <w:r>
              <w:rPr>
                <w:b/>
                <w:bCs/>
                <w:color w:val="000000"/>
              </w:rPr>
              <w:t>c.</w:t>
            </w:r>
          </w:hyperlink>
          <w:hyperlink w:anchor="_heading=h.89f1ils2j7fm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_heading=h.89f1ils2j7fm \h </w:instrText>
          </w:r>
          <w:r>
            <w:fldChar w:fldCharType="separate"/>
          </w:r>
          <w:r>
            <w:rPr>
              <w:b/>
              <w:bCs/>
              <w:noProof/>
              <w:color w:val="000000"/>
            </w:rPr>
            <w:t>Megrendelés módja</w:t>
          </w:r>
          <w:hyperlink w:anchor="_heading=h.89f1ils2j7fm" w:history="1"/>
          <w:r>
            <w:rPr>
              <w:noProof/>
              <w:color w:val="000000"/>
            </w:rPr>
            <w:tab/>
            <w:t>9</w:t>
          </w:r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left" w:pos="9214"/>
              <w:tab w:val="right" w:pos="9868"/>
            </w:tabs>
            <w:spacing w:after="100"/>
            <w:ind w:left="220" w:right="380"/>
            <w:rPr>
              <w:noProof/>
              <w:color w:val="000000"/>
            </w:rPr>
          </w:pPr>
          <w:r>
            <w:fldChar w:fldCharType="end"/>
          </w:r>
          <w:hyperlink w:anchor="_heading=h.uezzcxt7cpsc">
            <w:r>
              <w:rPr>
                <w:b/>
                <w:bCs/>
                <w:color w:val="000000"/>
              </w:rPr>
              <w:t>d.</w:t>
            </w:r>
          </w:hyperlink>
          <w:hyperlink w:anchor="_heading=h.uezzcxt7cpsc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_heading=h.uezzcxt7cpsc \h </w:instrText>
          </w:r>
          <w:r>
            <w:fldChar w:fldCharType="separate"/>
          </w:r>
          <w:r>
            <w:rPr>
              <w:b/>
              <w:bCs/>
              <w:noProof/>
              <w:color w:val="000000"/>
            </w:rPr>
            <w:t>A szolgáltatásunk megrendelésének visszaigazolása</w:t>
          </w:r>
          <w:hyperlink w:anchor="_heading=h.uezzcxt7cpsc" w:history="1"/>
          <w:r>
            <w:rPr>
              <w:noProof/>
              <w:color w:val="000000"/>
            </w:rPr>
            <w:tab/>
            <w:t>10</w:t>
          </w:r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left" w:pos="9214"/>
              <w:tab w:val="right" w:pos="9868"/>
            </w:tabs>
            <w:spacing w:after="100"/>
            <w:ind w:left="220" w:right="380"/>
            <w:rPr>
              <w:noProof/>
              <w:color w:val="000000"/>
            </w:rPr>
          </w:pPr>
          <w:r>
            <w:fldChar w:fldCharType="end"/>
          </w:r>
          <w:hyperlink w:anchor="_heading=h.btayhqehb2p8">
            <w:r>
              <w:rPr>
                <w:b/>
                <w:bCs/>
                <w:color w:val="000000"/>
              </w:rPr>
              <w:t>e.</w:t>
            </w:r>
          </w:hyperlink>
          <w:hyperlink w:anchor="_heading=h.btayhqehb2p8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_heading=h.btayhqehb2p8 \h </w:instrText>
          </w:r>
          <w:r>
            <w:fldChar w:fldCharType="separate"/>
          </w:r>
          <w:r>
            <w:rPr>
              <w:b/>
              <w:bCs/>
              <w:noProof/>
              <w:color w:val="000000"/>
            </w:rPr>
            <w:t>A megrendelés lemondásának módja és határideje</w:t>
          </w:r>
          <w:hyperlink w:anchor="_heading=h.btayhqehb2p8" w:history="1"/>
          <w:r>
            <w:rPr>
              <w:noProof/>
              <w:color w:val="000000"/>
            </w:rPr>
            <w:tab/>
            <w:t>10</w:t>
          </w:r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</w:tabs>
            <w:spacing w:after="100"/>
            <w:ind w:left="426" w:right="380" w:hanging="426"/>
            <w:rPr>
              <w:noProof/>
              <w:color w:val="000000"/>
            </w:rPr>
          </w:pPr>
          <w:r>
            <w:fldChar w:fldCharType="end"/>
          </w:r>
          <w:hyperlink w:anchor="_heading=h.injinl9pl8ed">
            <w:r>
              <w:rPr>
                <w:b/>
                <w:bCs/>
                <w:color w:val="000000"/>
              </w:rPr>
              <w:t>7.</w:t>
            </w:r>
          </w:hyperlink>
          <w:hyperlink w:anchor="_heading=h.injinl9pl8ed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_heading=h.injinl9pl8ed \h </w:instrText>
          </w:r>
          <w:r>
            <w:fldChar w:fldCharType="separate"/>
          </w:r>
          <w:r>
            <w:rPr>
              <w:b/>
              <w:bCs/>
              <w:noProof/>
              <w:color w:val="000000"/>
            </w:rPr>
            <w:t>Szolgáltatásainkkal, Jelnyelvi Tolmácsszolgálatunk munkatársaival kapcsolatos észrevételek és panaszok befogadásának és kezelésének rendje</w:t>
          </w:r>
          <w:hyperlink w:anchor="_heading=h.injinl9pl8ed" w:history="1"/>
          <w:r>
            <w:rPr>
              <w:noProof/>
              <w:color w:val="000000"/>
            </w:rPr>
            <w:tab/>
            <w:t>10</w:t>
          </w:r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</w:tabs>
            <w:spacing w:after="100"/>
            <w:ind w:left="426" w:right="380" w:hanging="426"/>
            <w:rPr>
              <w:noProof/>
              <w:color w:val="000000"/>
            </w:rPr>
          </w:pPr>
          <w:r>
            <w:fldChar w:fldCharType="end"/>
          </w:r>
          <w:hyperlink w:anchor="_heading=h.uip7n855kmd">
            <w:r>
              <w:rPr>
                <w:b/>
                <w:bCs/>
                <w:color w:val="000000"/>
              </w:rPr>
              <w:t>8.</w:t>
            </w:r>
          </w:hyperlink>
          <w:hyperlink w:anchor="_heading=h.uip7n855kmd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_heading=h.uip7n855kmd \h </w:instrText>
          </w:r>
          <w:r>
            <w:fldChar w:fldCharType="separate"/>
          </w:r>
          <w:r>
            <w:rPr>
              <w:b/>
              <w:bCs/>
              <w:noProof/>
              <w:color w:val="000000"/>
            </w:rPr>
            <w:t>Jelnyelvi Tolmácsszolgálatunk fenntartójának megnevezése, székhelye, valamint a képviseletére jogosultak nevei és elérhetőségei</w:t>
          </w:r>
          <w:hyperlink w:anchor="_heading=h.uip7n855kmd" w:history="1"/>
          <w:r>
            <w:rPr>
              <w:noProof/>
              <w:color w:val="000000"/>
            </w:rPr>
            <w:tab/>
            <w:t>11</w:t>
          </w:r>
        </w:p>
        <w:p w:rsidR="00521BB9" w:rsidRDefault="005D6D9D">
          <w:pPr>
            <w:tabs>
              <w:tab w:val="left" w:pos="9214"/>
            </w:tabs>
            <w:ind w:right="380"/>
          </w:pPr>
          <w:r>
            <w:fldChar w:fldCharType="end"/>
          </w:r>
          <w:r>
            <w:fldChar w:fldCharType="end"/>
          </w:r>
        </w:p>
      </w:sdtContent>
    </w:sdt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D6D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0" w:name="_heading=h.o0ov6dk2f8y9" w:colFirst="0" w:colLast="0"/>
      <w:bookmarkEnd w:id="0"/>
      <w:r>
        <w:rPr>
          <w:rFonts w:ascii="Arial" w:eastAsia="Arial" w:hAnsi="Arial" w:cs="Arial"/>
          <w:b/>
          <w:bCs/>
          <w:color w:val="000000"/>
          <w:sz w:val="26"/>
          <w:szCs w:val="26"/>
        </w:rPr>
        <w:t>A Jelnyelvi Tolmácsszolgálatunk elérhetőségei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b/>
          <w:bCs/>
          <w:color w:val="000000"/>
        </w:rPr>
      </w:pPr>
      <w:bookmarkStart w:id="1" w:name="_heading=h.fbybp3xm7jvz" w:colFirst="0" w:colLast="0"/>
      <w:bookmarkEnd w:id="1"/>
      <w:r>
        <w:rPr>
          <w:rFonts w:ascii="Arial" w:eastAsia="Arial" w:hAnsi="Arial" w:cs="Arial"/>
          <w:b/>
          <w:bCs/>
          <w:color w:val="000000"/>
        </w:rPr>
        <w:t>SINOSZ Bács-Kiskun Vármegyei Jelnyelvi Tolmácsszolgálata</w:t>
      </w: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</w:rPr>
      </w:pPr>
      <w:bookmarkStart w:id="2" w:name="_heading=h.zdegbo8e97f0" w:colFirst="0" w:colLast="0"/>
      <w:bookmarkEnd w:id="2"/>
      <w:r>
        <w:rPr>
          <w:rFonts w:ascii="Arial" w:eastAsia="Arial" w:hAnsi="Arial" w:cs="Arial"/>
          <w:color w:val="000000"/>
        </w:rPr>
        <w:t>Cím:</w:t>
      </w:r>
      <w:r>
        <w:rPr>
          <w:rFonts w:ascii="Arial" w:eastAsia="Arial" w:hAnsi="Arial" w:cs="Arial"/>
          <w:color w:val="000000"/>
        </w:rPr>
        <w:tab/>
        <w:t xml:space="preserve">6000 Kecskemét Táncsics M. u. 19.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</w:rPr>
      </w:pPr>
      <w:bookmarkStart w:id="3" w:name="_heading=h.wo00y3qey5k2" w:colFirst="0" w:colLast="0"/>
      <w:bookmarkEnd w:id="3"/>
      <w:r>
        <w:rPr>
          <w:rFonts w:ascii="Arial" w:eastAsia="Arial" w:hAnsi="Arial" w:cs="Arial"/>
          <w:color w:val="000000"/>
        </w:rPr>
        <w:t xml:space="preserve">Mobil </w:t>
      </w:r>
      <w:proofErr w:type="gramStart"/>
      <w:r>
        <w:rPr>
          <w:rFonts w:ascii="Arial" w:eastAsia="Arial" w:hAnsi="Arial" w:cs="Arial"/>
          <w:color w:val="000000"/>
        </w:rPr>
        <w:t>diszpécser :</w:t>
      </w:r>
      <w:proofErr w:type="gramEnd"/>
      <w:r>
        <w:rPr>
          <w:rFonts w:ascii="Arial" w:eastAsia="Arial" w:hAnsi="Arial" w:cs="Arial"/>
          <w:color w:val="000000"/>
        </w:rPr>
        <w:t xml:space="preserve"> 06/70/331-1878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</w:t>
      </w: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</w:rPr>
      </w:pPr>
      <w:bookmarkStart w:id="4" w:name="_heading=h.lars83l6xh34" w:colFirst="0" w:colLast="0"/>
      <w:bookmarkEnd w:id="4"/>
      <w:r>
        <w:rPr>
          <w:rFonts w:ascii="Arial" w:eastAsia="Arial" w:hAnsi="Arial" w:cs="Arial"/>
          <w:color w:val="000000"/>
        </w:rPr>
        <w:t>Készenléti mobil:</w:t>
      </w:r>
      <w:r>
        <w:rPr>
          <w:rFonts w:ascii="Arial" w:eastAsia="Arial" w:hAnsi="Arial" w:cs="Arial"/>
          <w:color w:val="000000"/>
        </w:rPr>
        <w:tab/>
        <w:t>06/70/930-7249</w:t>
      </w: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</w:rPr>
      </w:pPr>
      <w:bookmarkStart w:id="5" w:name="_heading=h.mlgqk0w25ora" w:colFirst="0" w:colLast="0"/>
      <w:bookmarkEnd w:id="5"/>
      <w:r>
        <w:rPr>
          <w:rFonts w:ascii="Arial" w:eastAsia="Arial" w:hAnsi="Arial" w:cs="Arial"/>
          <w:color w:val="000000"/>
        </w:rPr>
        <w:t>E-mail:</w:t>
      </w:r>
      <w:r>
        <w:rPr>
          <w:rFonts w:ascii="Arial" w:eastAsia="Arial" w:hAnsi="Arial" w:cs="Arial"/>
          <w:color w:val="000000"/>
        </w:rPr>
        <w:tab/>
        <w:t>bacsjtsz@sinosz.hu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</w:rPr>
      </w:pPr>
      <w:bookmarkStart w:id="6" w:name="_heading=h.bo3w0b5uxb4b" w:colFirst="0" w:colLast="0"/>
      <w:bookmarkEnd w:id="6"/>
      <w:proofErr w:type="spellStart"/>
      <w:r>
        <w:rPr>
          <w:rFonts w:ascii="Arial" w:eastAsia="Arial" w:hAnsi="Arial" w:cs="Arial"/>
          <w:color w:val="000000"/>
        </w:rPr>
        <w:t>Teams</w:t>
      </w:r>
      <w:proofErr w:type="spellEnd"/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</w:rPr>
        <w:tab/>
        <w:t xml:space="preserve">Bács-Kiskun </w:t>
      </w:r>
      <w:proofErr w:type="gramStart"/>
      <w:r>
        <w:rPr>
          <w:rFonts w:ascii="Arial" w:eastAsia="Arial" w:hAnsi="Arial" w:cs="Arial"/>
          <w:color w:val="000000"/>
        </w:rPr>
        <w:t>VMJTSZ  (</w:t>
      </w:r>
      <w:proofErr w:type="gramEnd"/>
      <w:r>
        <w:rPr>
          <w:rFonts w:ascii="Arial" w:eastAsia="Arial" w:hAnsi="Arial" w:cs="Arial"/>
          <w:color w:val="000000"/>
        </w:rPr>
        <w:t>bacsjtsz@sinosz.hu)</w:t>
      </w:r>
      <w:r>
        <w:rPr>
          <w:rFonts w:ascii="Arial" w:eastAsia="Arial" w:hAnsi="Arial" w:cs="Arial"/>
          <w:color w:val="000000"/>
        </w:rPr>
        <w:tab/>
      </w: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</w:rPr>
      </w:pPr>
      <w:bookmarkStart w:id="7" w:name="_heading=h.w98izqx4kos0" w:colFirst="0" w:colLast="0"/>
      <w:bookmarkEnd w:id="7"/>
      <w:r>
        <w:rPr>
          <w:rFonts w:ascii="Arial" w:eastAsia="Arial" w:hAnsi="Arial" w:cs="Arial"/>
          <w:color w:val="000000"/>
        </w:rPr>
        <w:t>Honlap:</w:t>
      </w:r>
      <w:r>
        <w:rPr>
          <w:rFonts w:ascii="Arial" w:eastAsia="Arial" w:hAnsi="Arial" w:cs="Arial"/>
          <w:color w:val="000000"/>
        </w:rPr>
        <w:tab/>
        <w:t>www.tolmacsszolgalat-bacs-kiskun.hu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8" w:name="_heading=h.s42s7njk3vl8" w:colFirst="0" w:colLast="0"/>
      <w:bookmarkEnd w:id="8"/>
      <w:r>
        <w:rPr>
          <w:rFonts w:ascii="Arial" w:eastAsia="Arial" w:hAnsi="Arial" w:cs="Arial"/>
          <w:b/>
          <w:bCs/>
          <w:color w:val="000000"/>
          <w:sz w:val="26"/>
          <w:szCs w:val="26"/>
        </w:rPr>
        <w:t>A Jelnyelvi Tolmácsszolgálatunk ellátási területe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57" w:firstLine="283"/>
        <w:rPr>
          <w:rFonts w:ascii="Arial" w:eastAsia="Arial" w:hAnsi="Arial" w:cs="Arial"/>
          <w:color w:val="000000"/>
          <w:sz w:val="24"/>
          <w:szCs w:val="24"/>
        </w:rPr>
      </w:pPr>
      <w:bookmarkStart w:id="9" w:name="_heading=h.ka8a2la28trl" w:colFirst="0" w:colLast="0"/>
      <w:bookmarkEnd w:id="9"/>
      <w:r>
        <w:rPr>
          <w:rFonts w:ascii="Arial" w:eastAsia="Arial" w:hAnsi="Arial" w:cs="Arial"/>
          <w:color w:val="000000"/>
          <w:sz w:val="24"/>
          <w:szCs w:val="24"/>
        </w:rPr>
        <w:t>BÁCS-KISKUN VÁRMEGYE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ind w:left="426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ind w:left="426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10" w:name="_heading=h.g4iiaaykdhzm" w:colFirst="0" w:colLast="0"/>
      <w:bookmarkEnd w:id="10"/>
      <w:r>
        <w:rPr>
          <w:rFonts w:ascii="Arial" w:eastAsia="Arial" w:hAnsi="Arial" w:cs="Arial"/>
          <w:b/>
          <w:bCs/>
          <w:color w:val="000000"/>
          <w:sz w:val="26"/>
          <w:szCs w:val="26"/>
        </w:rPr>
        <w:t>A Jelnyelvi Tolmácsszolgálatunk ügyfélfogadási és készenléti időbeosztása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Ügyfélfogadás a Tolmácsszolgálatunk irodájában:</w:t>
      </w:r>
    </w:p>
    <w:p w:rsidR="00521BB9" w:rsidRDefault="00521BB9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:rsidR="00521BB9" w:rsidRDefault="005D6D9D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Hétfő: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09:00 órától 13:00 óráig</w:t>
      </w:r>
    </w:p>
    <w:p w:rsidR="00521BB9" w:rsidRDefault="005D6D9D">
      <w:pPr>
        <w:spacing w:after="0" w:line="240" w:lineRule="auto"/>
        <w:ind w:left="283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Kedd: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ZÁRVA</w:t>
      </w:r>
    </w:p>
    <w:p w:rsidR="00521BB9" w:rsidRDefault="005D6D9D">
      <w:pPr>
        <w:spacing w:after="0" w:line="240" w:lineRule="auto"/>
        <w:ind w:left="2124" w:firstLine="70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Szerda: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ZÁRVA</w:t>
      </w:r>
    </w:p>
    <w:p w:rsidR="00521BB9" w:rsidRDefault="005D6D9D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Csütörtök:</w:t>
      </w:r>
      <w:r>
        <w:rPr>
          <w:rFonts w:ascii="Arial" w:eastAsia="Arial" w:hAnsi="Arial" w:cs="Arial"/>
        </w:rPr>
        <w:tab/>
        <w:t>09:00 órától 13:00 óráig</w:t>
      </w:r>
    </w:p>
    <w:p w:rsidR="00521BB9" w:rsidRDefault="005D6D9D">
      <w:pPr>
        <w:spacing w:after="0" w:line="240" w:lineRule="auto"/>
        <w:ind w:left="28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Péntek</w:t>
      </w:r>
      <w:proofErr w:type="gramStart"/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</w:rPr>
        <w:tab/>
        <w:t xml:space="preserve">    09</w:t>
      </w:r>
      <w:proofErr w:type="gramEnd"/>
      <w:r>
        <w:rPr>
          <w:rFonts w:ascii="Arial" w:eastAsia="Arial" w:hAnsi="Arial" w:cs="Arial"/>
        </w:rPr>
        <w:t xml:space="preserve">:00 órától 13:00 óráig </w:t>
      </w:r>
    </w:p>
    <w:p w:rsidR="00521BB9" w:rsidRDefault="005D6D9D">
      <w:pPr>
        <w:spacing w:after="0" w:line="240" w:lineRule="auto"/>
        <w:ind w:left="2124"/>
        <w:jc w:val="center"/>
        <w:rPr>
          <w:rFonts w:ascii="Arial" w:eastAsia="Arial" w:hAnsi="Arial" w:cs="Arial"/>
        </w:rPr>
      </w:pPr>
      <w:bookmarkStart w:id="11" w:name="_heading=h.is1p1omsqwdv" w:colFirst="0" w:colLast="0"/>
      <w:bookmarkEnd w:id="11"/>
      <w:r>
        <w:rPr>
          <w:rFonts w:ascii="Arial" w:eastAsia="Arial" w:hAnsi="Arial" w:cs="Arial"/>
        </w:rPr>
        <w:t xml:space="preserve"> </w:t>
      </w:r>
    </w:p>
    <w:p w:rsidR="00521BB9" w:rsidRDefault="00521BB9">
      <w:pPr>
        <w:spacing w:after="0" w:line="240" w:lineRule="auto"/>
        <w:jc w:val="both"/>
        <w:rPr>
          <w:rFonts w:ascii="Arial" w:eastAsia="Arial" w:hAnsi="Arial" w:cs="Arial"/>
        </w:rPr>
      </w:pPr>
    </w:p>
    <w:p w:rsidR="00521BB9" w:rsidRDefault="005D6D9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Igény szerint, előre egyeztetett időpontban ügyfélfogadási időn kívül is elérhetőek az irodai szolgáltatások.</w:t>
      </w:r>
    </w:p>
    <w:p w:rsidR="00521BB9" w:rsidRDefault="00521BB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</w:p>
    <w:p w:rsidR="00521BB9" w:rsidRDefault="00521BB9">
      <w:pPr>
        <w:spacing w:after="0" w:line="240" w:lineRule="auto"/>
        <w:jc w:val="both"/>
        <w:rPr>
          <w:rFonts w:ascii="Arial" w:eastAsia="Arial" w:hAnsi="Arial" w:cs="Arial"/>
          <w:b/>
          <w:bCs/>
        </w:rPr>
      </w:pPr>
    </w:p>
    <w:p w:rsidR="00521BB9" w:rsidRDefault="005D6D9D">
      <w:pP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Tolmácsszolgálatunk 24 órában, hétvégén és ünnepnapokon is elérhető száma</w:t>
      </w:r>
      <w:r>
        <w:rPr>
          <w:rFonts w:ascii="Arial" w:eastAsia="Arial" w:hAnsi="Arial" w:cs="Arial"/>
          <w:color w:val="000000"/>
        </w:rPr>
        <w:t xml:space="preserve"> </w:t>
      </w:r>
    </w:p>
    <w:p w:rsidR="00521BB9" w:rsidRDefault="005D6D9D">
      <w:pP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(SMS-ben is):</w:t>
      </w:r>
    </w:p>
    <w:p w:rsidR="00521BB9" w:rsidRDefault="00521BB9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</w:rPr>
      </w:pPr>
    </w:p>
    <w:p w:rsidR="00521BB9" w:rsidRDefault="005D6D9D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06/70/930-7249</w:t>
      </w:r>
    </w:p>
    <w:p w:rsidR="00521BB9" w:rsidRDefault="00521BB9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Tolmácsszolgálatunk munkanapokon 18 és 8 óra között, továbbá szombaton, vasárnap vagy munkaszüneti napokon kizárólag </w:t>
      </w:r>
      <w:r>
        <w:rPr>
          <w:rFonts w:ascii="Arial" w:eastAsia="Arial" w:hAnsi="Arial" w:cs="Arial"/>
          <w:color w:val="000000"/>
          <w:u w:val="single"/>
        </w:rPr>
        <w:t>sürgős megrendeléseket</w:t>
      </w:r>
      <w:r>
        <w:rPr>
          <w:rFonts w:ascii="Arial" w:eastAsia="Arial" w:hAnsi="Arial" w:cs="Arial"/>
          <w:color w:val="000000"/>
          <w:vertAlign w:val="superscript"/>
        </w:rPr>
        <w:footnoteReference w:id="1"/>
      </w:r>
      <w:r>
        <w:rPr>
          <w:rFonts w:ascii="Arial" w:eastAsia="Arial" w:hAnsi="Arial" w:cs="Arial"/>
          <w:color w:val="000000"/>
        </w:rPr>
        <w:t xml:space="preserve"> teljesít 2 órán belül.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Az ünnepek miatti munkarend változásakor a tolmácsszolgálatunk abban az esetben tart ügyfélfogadást 08.00-12.00 között, ha a ledolgozandó munkanapon a tolmácsszolgálatunk nyitva tart. Ebben az esetben online ügyfélfogadást tartunk. (szombati munkanap)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12" w:name="_heading=h.qo6ru0z70jmy" w:colFirst="0" w:colLast="0"/>
      <w:bookmarkEnd w:id="12"/>
      <w:r>
        <w:rPr>
          <w:rFonts w:ascii="Arial" w:eastAsia="Arial" w:hAnsi="Arial" w:cs="Arial"/>
          <w:b/>
          <w:bCs/>
          <w:color w:val="000000"/>
          <w:sz w:val="26"/>
          <w:szCs w:val="26"/>
        </w:rPr>
        <w:t>A Jelnyelvi Tolmácsszolgálat által nyújtott tolmácsolási típusok és módok jegyzéke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:rsidR="00521BB9" w:rsidRDefault="005D6D9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13" w:name="_heading=h.mbjji0nwf7iu" w:colFirst="0" w:colLast="0"/>
      <w:bookmarkEnd w:id="13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Tolmácsolási típusok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D6D9D">
      <w:pPr>
        <w:numPr>
          <w:ilvl w:val="0"/>
          <w:numId w:val="8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bíróság, hatóság vagy egyéb közhatalmat gyakorló szerv eljárása során végzett tolmácsolás</w:t>
      </w:r>
    </w:p>
    <w:p w:rsidR="00521BB9" w:rsidRDefault="005D6D9D">
      <w:pPr>
        <w:numPr>
          <w:ilvl w:val="0"/>
          <w:numId w:val="8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közoktatás, szakképzés, felsőoktatás során a tanulói, hallgatói jogviszonnyal, továbbá felnőttképzés során a képzéssel összefüggésben végzett tolmácsolás</w:t>
      </w:r>
    </w:p>
    <w:p w:rsidR="00521BB9" w:rsidRDefault="005D6D9D">
      <w:pPr>
        <w:numPr>
          <w:ilvl w:val="0"/>
          <w:numId w:val="8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egészségügyi ellátás igénybevételekor végzett tolmácsolás</w:t>
      </w:r>
    </w:p>
    <w:p w:rsidR="00521BB9" w:rsidRDefault="005D6D9D">
      <w:pPr>
        <w:numPr>
          <w:ilvl w:val="0"/>
          <w:numId w:val="8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foglalkoztatási célú és munkahelyen igénybe vett tolmácsolás</w:t>
      </w:r>
    </w:p>
    <w:p w:rsidR="00521BB9" w:rsidRDefault="005D6D9D">
      <w:pPr>
        <w:numPr>
          <w:ilvl w:val="0"/>
          <w:numId w:val="8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jogosult választott tisztségének ellátásához igénybe vett személyi tolmácsolás </w:t>
      </w:r>
    </w:p>
    <w:p w:rsidR="00521BB9" w:rsidRDefault="005D6D9D">
      <w:pPr>
        <w:numPr>
          <w:ilvl w:val="0"/>
          <w:numId w:val="8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jogosult önálló életvitel elősegítése céljából végzett személyi tolmácsolás</w:t>
      </w:r>
    </w:p>
    <w:p w:rsidR="00521BB9" w:rsidRDefault="005D6D9D">
      <w:pPr>
        <w:numPr>
          <w:ilvl w:val="0"/>
          <w:numId w:val="8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nagyobb hallgatóság előtt végzett tolmácsolás</w:t>
      </w:r>
    </w:p>
    <w:p w:rsidR="00521BB9" w:rsidRDefault="005D6D9D">
      <w:pPr>
        <w:numPr>
          <w:ilvl w:val="0"/>
          <w:numId w:val="8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média-tolmácsolás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14" w:name="_heading=h.mmhryp7nl675" w:colFirst="0" w:colLast="0"/>
      <w:bookmarkEnd w:id="14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Tolmácsolási módok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D6D9D">
      <w:pPr>
        <w:numPr>
          <w:ilvl w:val="0"/>
          <w:numId w:val="9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magyar jelnyelv</w:t>
      </w:r>
    </w:p>
    <w:p w:rsidR="00521BB9" w:rsidRDefault="005D6D9D">
      <w:pPr>
        <w:numPr>
          <w:ilvl w:val="0"/>
          <w:numId w:val="9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taktilis jelnyelv</w:t>
      </w:r>
    </w:p>
    <w:p w:rsidR="00521BB9" w:rsidRDefault="005D6D9D">
      <w:pPr>
        <w:numPr>
          <w:ilvl w:val="0"/>
          <w:numId w:val="9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jelesített magyar nyelv</w:t>
      </w:r>
    </w:p>
    <w:p w:rsidR="00521BB9" w:rsidRDefault="005D6D9D">
      <w:pPr>
        <w:numPr>
          <w:ilvl w:val="0"/>
          <w:numId w:val="9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ujjábécé</w:t>
      </w:r>
    </w:p>
    <w:p w:rsidR="00521BB9" w:rsidRDefault="005D6D9D">
      <w:pPr>
        <w:numPr>
          <w:ilvl w:val="0"/>
          <w:numId w:val="9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daktil</w:t>
      </w:r>
      <w:proofErr w:type="spellEnd"/>
      <w:r>
        <w:rPr>
          <w:rFonts w:ascii="Arial" w:eastAsia="Arial" w:hAnsi="Arial" w:cs="Arial"/>
        </w:rPr>
        <w:t xml:space="preserve"> tenyérbe jelelés</w:t>
      </w:r>
    </w:p>
    <w:p w:rsidR="00521BB9" w:rsidRDefault="005D6D9D">
      <w:pPr>
        <w:numPr>
          <w:ilvl w:val="0"/>
          <w:numId w:val="9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magyar nyelvű beszéd vizualizálása</w:t>
      </w:r>
    </w:p>
    <w:p w:rsidR="00521BB9" w:rsidRDefault="005D6D9D">
      <w:pPr>
        <w:numPr>
          <w:ilvl w:val="0"/>
          <w:numId w:val="9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magyar nyelvű hangzó beszéd, írásba foglalása</w:t>
      </w:r>
    </w:p>
    <w:p w:rsidR="00521BB9" w:rsidRDefault="005D6D9D">
      <w:pPr>
        <w:numPr>
          <w:ilvl w:val="0"/>
          <w:numId w:val="9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Lorm</w:t>
      </w:r>
      <w:proofErr w:type="spellEnd"/>
      <w:r>
        <w:rPr>
          <w:rFonts w:ascii="Arial" w:eastAsia="Arial" w:hAnsi="Arial" w:cs="Arial"/>
        </w:rPr>
        <w:t>-ábécé</w:t>
      </w:r>
    </w:p>
    <w:p w:rsidR="00521BB9" w:rsidRDefault="005D6D9D">
      <w:pPr>
        <w:numPr>
          <w:ilvl w:val="0"/>
          <w:numId w:val="9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tenyérbe írás</w:t>
      </w:r>
    </w:p>
    <w:p w:rsidR="00521BB9" w:rsidRDefault="005D6D9D">
      <w:pPr>
        <w:numPr>
          <w:ilvl w:val="0"/>
          <w:numId w:val="9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Braille-írás</w:t>
      </w:r>
    </w:p>
    <w:p w:rsidR="00521BB9" w:rsidRDefault="005D6D9D">
      <w:pPr>
        <w:numPr>
          <w:ilvl w:val="0"/>
          <w:numId w:val="9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Braille-írás taktilis formája</w:t>
      </w:r>
    </w:p>
    <w:p w:rsidR="00521BB9" w:rsidRDefault="005D6D9D">
      <w:pPr>
        <w:numPr>
          <w:ilvl w:val="0"/>
          <w:numId w:val="9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Tadoma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vibrációs</w:t>
      </w:r>
      <w:proofErr w:type="gramEnd"/>
      <w:r>
        <w:rPr>
          <w:rFonts w:ascii="Arial" w:eastAsia="Arial" w:hAnsi="Arial" w:cs="Arial"/>
        </w:rPr>
        <w:t xml:space="preserve"> módszer</w:t>
      </w:r>
    </w:p>
    <w:p w:rsidR="00521BB9" w:rsidRDefault="00521BB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521BB9" w:rsidRDefault="00521BB9">
      <w:pPr>
        <w:spacing w:after="0" w:line="240" w:lineRule="auto"/>
        <w:rPr>
          <w:b/>
          <w:bCs/>
          <w:sz w:val="28"/>
          <w:szCs w:val="28"/>
        </w:rPr>
      </w:pPr>
    </w:p>
    <w:p w:rsidR="00521BB9" w:rsidRDefault="005D6D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15" w:name="_heading=h.oj3dz6ibonbc" w:colFirst="0" w:colLast="0"/>
      <w:bookmarkEnd w:id="15"/>
      <w:r>
        <w:rPr>
          <w:rFonts w:ascii="Arial" w:eastAsia="Arial" w:hAnsi="Arial" w:cs="Arial"/>
          <w:b/>
          <w:bCs/>
          <w:color w:val="000000"/>
          <w:sz w:val="26"/>
          <w:szCs w:val="26"/>
        </w:rPr>
        <w:t>A Jelnyelvi Tolmácsszolgálatunk munkatársai</w:t>
      </w:r>
    </w:p>
    <w:tbl>
      <w:tblPr>
        <w:tblStyle w:val="a0"/>
        <w:tblW w:w="93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2071"/>
        <w:gridCol w:w="1843"/>
        <w:gridCol w:w="2040"/>
      </w:tblGrid>
      <w:tr w:rsidR="00521BB9">
        <w:trPr>
          <w:cantSplit/>
          <w:trHeight w:val="1517"/>
          <w:tblHeader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21B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smallCaps/>
                <w:color w:val="000000"/>
                <w:sz w:val="20"/>
                <w:szCs w:val="20"/>
              </w:rPr>
            </w:pP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D6D9D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  <w:r>
              <w:rPr>
                <w:noProof/>
                <w:lang w:val="hu-HU"/>
              </w:rPr>
              <w:drawing>
                <wp:inline distT="0" distB="0" distL="0" distR="0">
                  <wp:extent cx="1289247" cy="1345274"/>
                  <wp:effectExtent l="0" t="0" r="0" b="0"/>
                  <wp:docPr id="1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247" cy="1345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D6D9D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  <w:r>
              <w:rPr>
                <w:noProof/>
                <w:lang w:val="hu-HU"/>
              </w:rPr>
              <w:drawing>
                <wp:inline distT="0" distB="0" distL="0" distR="0">
                  <wp:extent cx="1325880" cy="1325880"/>
                  <wp:effectExtent l="0" t="0" r="0" b="0"/>
                  <wp:docPr id="1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4F5791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  <w:r w:rsidRPr="004F5791">
              <w:rPr>
                <w:rFonts w:ascii="Arial" w:eastAsia="Arial" w:hAnsi="Arial" w:cs="Arial"/>
                <w:noProof/>
                <w:color w:val="000000"/>
                <w:sz w:val="20"/>
                <w:szCs w:val="20"/>
                <w:lang w:val="hu-HU"/>
              </w:rPr>
              <w:drawing>
                <wp:inline distT="0" distB="0" distL="0" distR="0">
                  <wp:extent cx="1155385" cy="1363980"/>
                  <wp:effectExtent l="0" t="0" r="6985" b="7620"/>
                  <wp:docPr id="5" name="Kép 5" descr="C:\Users\Sinosz\Desktop\IMG_3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inosz\Desktop\IMG_3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866" cy="136927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Név: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D6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Marton Orsolya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D6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Kiss László Péter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AA0D57" w:rsidP="00AA0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   Kiss Dorina</w:t>
            </w: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Beosztás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D6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Szakmai vezető, jelnyelvi tolmács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D6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jelnyelvi tolmács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D6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diszpécser</w:t>
            </w:r>
          </w:p>
        </w:tc>
      </w:tr>
      <w:tr w:rsidR="00521BB9">
        <w:trPr>
          <w:cantSplit/>
          <w:jc w:val="center"/>
        </w:trPr>
        <w:tc>
          <w:tcPr>
            <w:tcW w:w="9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Vállalt tolmácsolási típusok</w:t>
            </w:r>
          </w:p>
        </w:tc>
      </w:tr>
      <w:tr w:rsidR="00521BB9">
        <w:trPr>
          <w:cantSplit/>
          <w:trHeight w:val="788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D6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D6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21B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21BB9">
        <w:trPr>
          <w:cantSplit/>
          <w:trHeight w:val="602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D6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D6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21B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 jogosult önálló életvitel elősegítése céljából végzett személyi tolmácsolás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média-tolmácsolás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</w:tr>
      <w:tr w:rsidR="00521BB9">
        <w:trPr>
          <w:cantSplit/>
          <w:jc w:val="center"/>
        </w:trPr>
        <w:tc>
          <w:tcPr>
            <w:tcW w:w="9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Vállalt tolmácsolási módok</w:t>
            </w: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magyar jelnyelv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taktilis jelnyelv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jelesített magyar nyelv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ujjábécé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daktil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tenyérbe jelelés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magyar nyelvű beszéd vizualizálása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magyar nyelvű hangzó beszéd, írásba foglalása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Lorm-abécé</w:t>
            </w:r>
            <w:proofErr w:type="spellEnd"/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tenyérbe írás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Braille-írás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21B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Braille-írás taktilis formája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21B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Tadoma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vibrációs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módszer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21B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16" w:name="_heading=h.x36wspt9ev58" w:colFirst="0" w:colLast="0"/>
      <w:bookmarkEnd w:id="16"/>
      <w:r>
        <w:rPr>
          <w:rFonts w:ascii="Arial" w:eastAsia="Arial" w:hAnsi="Arial" w:cs="Arial"/>
          <w:b/>
          <w:bCs/>
          <w:color w:val="000000"/>
          <w:sz w:val="26"/>
          <w:szCs w:val="26"/>
        </w:rPr>
        <w:t>Szolgáltatásaink igénybevételének módja, menete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:rsidR="00521BB9" w:rsidRDefault="005D6D9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17" w:name="_heading=h.i1uq7t5xjchd" w:colFirst="0" w:colLast="0"/>
      <w:bookmarkEnd w:id="17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Térítésmentes jelnyelvi tolmácsszolgáltatás és igénybevételének feltételei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 Jelnyelvi Tolmácsszolgálat térítésmentes jelnyelvi tolmácsszolgáltatást kizárólag az ellátási területén végezhet, kivéve a más ellátási területen működő </w:t>
      </w:r>
      <w:proofErr w:type="spellStart"/>
      <w:r>
        <w:rPr>
          <w:rFonts w:ascii="Arial" w:eastAsia="Arial" w:hAnsi="Arial" w:cs="Arial"/>
          <w:color w:val="000000"/>
        </w:rPr>
        <w:t>tolmácsszolgálat</w:t>
      </w:r>
      <w:proofErr w:type="spellEnd"/>
      <w:r>
        <w:rPr>
          <w:rFonts w:ascii="Arial" w:eastAsia="Arial" w:hAnsi="Arial" w:cs="Arial"/>
          <w:color w:val="000000"/>
        </w:rPr>
        <w:t xml:space="preserve"> eseti, szakmailag indokolt megkeresése alapján a megkereső </w:t>
      </w:r>
      <w:proofErr w:type="spellStart"/>
      <w:r>
        <w:rPr>
          <w:rFonts w:ascii="Arial" w:eastAsia="Arial" w:hAnsi="Arial" w:cs="Arial"/>
          <w:color w:val="000000"/>
        </w:rPr>
        <w:t>tolmácsszolgálat</w:t>
      </w:r>
      <w:proofErr w:type="spellEnd"/>
      <w:r>
        <w:rPr>
          <w:rFonts w:ascii="Arial" w:eastAsia="Arial" w:hAnsi="Arial" w:cs="Arial"/>
          <w:color w:val="000000"/>
        </w:rPr>
        <w:t xml:space="preserve"> ellátási területén végzett térítésmentes jelnyelvi tolmácsszolgáltatást. Továbbá a 2/2011. (XI. 10.) NEFMI rendelet 4 §-</w:t>
      </w:r>
      <w:proofErr w:type="spellStart"/>
      <w:r>
        <w:rPr>
          <w:rFonts w:ascii="Arial" w:eastAsia="Arial" w:hAnsi="Arial" w:cs="Arial"/>
          <w:color w:val="000000"/>
        </w:rPr>
        <w:t>ban</w:t>
      </w:r>
      <w:proofErr w:type="spellEnd"/>
      <w:r>
        <w:rPr>
          <w:rFonts w:ascii="Arial" w:eastAsia="Arial" w:hAnsi="Arial" w:cs="Arial"/>
          <w:color w:val="000000"/>
        </w:rPr>
        <w:t xml:space="preserve"> leírt kivételek estében.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142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18" w:name="_heading=h.b6tceac4vnsm" w:colFirst="0" w:colLast="0"/>
      <w:bookmarkEnd w:id="18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Térítésmentes jelnyelvi tolmácsolási helyzetek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142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D6D9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 jogosult önálló életvitel elősegítése</w:t>
      </w:r>
      <w:r>
        <w:rPr>
          <w:rFonts w:ascii="Arial" w:eastAsia="Arial" w:hAnsi="Arial" w:cs="Arial"/>
          <w:color w:val="000000"/>
        </w:rPr>
        <w:t xml:space="preserve"> céljából végzett tolmácsolás:</w:t>
      </w:r>
    </w:p>
    <w:p w:rsidR="00521BB9" w:rsidRDefault="005D6D9D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írásbeli és telefonon történő ügyintézés támogatása, illetve tolmácsolás/fordítás olyan helyzetekben, amelyek megoldásához nyelvi hátrányból adódóan kér segítséget a jogosult ügyfél</w:t>
      </w:r>
    </w:p>
    <w:p w:rsidR="00521BB9" w:rsidRDefault="005D6D9D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szolgáltatások egyéni igénybevétele (kivéve közszolgáltatás), vásárlások, banki ügyek, közüzemi szolgáltatásokkal kapcsolatos ügyintézés, szülői értekezlet, lakógyűlésen való részvétel </w:t>
      </w:r>
    </w:p>
    <w:p w:rsidR="00521BB9" w:rsidRDefault="005D6D9D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ügyvédi felkeresés, közjegyzői okirat elkészítése, egyéb közjegyzői eljárás</w:t>
      </w:r>
    </w:p>
    <w:p w:rsidR="00521BB9" w:rsidRDefault="005D6D9D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egyéni rehabilitáció</w:t>
      </w:r>
    </w:p>
    <w:p w:rsidR="00521BB9" w:rsidRDefault="005D6D9D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egyéni és ingyenes jogsegély szolgáltatás során</w:t>
      </w:r>
    </w:p>
    <w:p w:rsidR="00521BB9" w:rsidRDefault="005D6D9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foglalkoztatási célú és munkahelyen igénybe vett tolmácsolás, </w:t>
      </w:r>
      <w:r>
        <w:rPr>
          <w:rFonts w:ascii="Arial" w:eastAsia="Arial" w:hAnsi="Arial" w:cs="Arial"/>
          <w:color w:val="000000"/>
        </w:rPr>
        <w:t>amennyiben azt a jogosult ügyfél kéri</w:t>
      </w:r>
    </w:p>
    <w:p w:rsidR="00521BB9" w:rsidRDefault="005D6D9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közoktatás, szakképzés, felsőoktatás és felnőttképzés</w:t>
      </w:r>
      <w:r>
        <w:rPr>
          <w:rFonts w:ascii="Arial" w:eastAsia="Arial" w:hAnsi="Arial" w:cs="Arial"/>
          <w:color w:val="000000"/>
        </w:rPr>
        <w:t xml:space="preserve"> során, kivételt képez ez alól a szóbeli vizsga</w:t>
      </w:r>
    </w:p>
    <w:p w:rsidR="00521BB9" w:rsidRDefault="005D6D9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egészségügyi ellátás igénybevételekor végzett tolmácsolás</w:t>
      </w:r>
    </w:p>
    <w:p w:rsidR="00521BB9" w:rsidRDefault="005D6D9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személyi tolmácsolás</w:t>
      </w:r>
      <w:r>
        <w:rPr>
          <w:rFonts w:ascii="Arial" w:eastAsia="Arial" w:hAnsi="Arial" w:cs="Arial"/>
          <w:color w:val="000000"/>
        </w:rPr>
        <w:t xml:space="preserve">: amikor betöltött </w:t>
      </w:r>
      <w:proofErr w:type="gramStart"/>
      <w:r>
        <w:rPr>
          <w:rFonts w:ascii="Arial" w:eastAsia="Arial" w:hAnsi="Arial" w:cs="Arial"/>
          <w:color w:val="000000"/>
        </w:rPr>
        <w:t>pozíció</w:t>
      </w:r>
      <w:proofErr w:type="gramEnd"/>
      <w:r>
        <w:rPr>
          <w:rFonts w:ascii="Arial" w:eastAsia="Arial" w:hAnsi="Arial" w:cs="Arial"/>
          <w:color w:val="000000"/>
        </w:rPr>
        <w:t xml:space="preserve"> révén egy jogosult ügyfélnek folyamatosan van szüksége tolmács kíséretére, mert folyamatosan hallókkal érintkezik munkája során</w:t>
      </w:r>
    </w:p>
    <w:p w:rsidR="00521BB9" w:rsidRDefault="005D6D9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nagyobb hallgatóság előtt végzett tolmácsolás</w:t>
      </w:r>
      <w:r>
        <w:rPr>
          <w:rFonts w:ascii="Arial" w:eastAsia="Arial" w:hAnsi="Arial" w:cs="Arial"/>
          <w:color w:val="000000"/>
        </w:rPr>
        <w:t>: csak egyéni részvétel esetén</w:t>
      </w:r>
    </w:p>
    <w:p w:rsidR="00521BB9" w:rsidRDefault="005D6D9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szabadidős, kulturális tevékenység</w:t>
      </w:r>
      <w:r>
        <w:rPr>
          <w:rFonts w:ascii="Arial" w:eastAsia="Arial" w:hAnsi="Arial" w:cs="Arial"/>
          <w:color w:val="000000"/>
        </w:rPr>
        <w:t>: sportrendezvényen, vagy kulturális rendezvényen történő egyéni részvétel esetén</w:t>
      </w:r>
    </w:p>
    <w:p w:rsidR="00521BB9" w:rsidRDefault="005D6D9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rendezvény, </w:t>
      </w:r>
      <w:proofErr w:type="gramStart"/>
      <w:r>
        <w:rPr>
          <w:rFonts w:ascii="Arial" w:eastAsia="Arial" w:hAnsi="Arial" w:cs="Arial"/>
          <w:b/>
          <w:bCs/>
          <w:color w:val="000000"/>
        </w:rPr>
        <w:t>konferencia</w:t>
      </w:r>
      <w:proofErr w:type="gramEnd"/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</w:rPr>
        <w:t xml:space="preserve"> üzleti, vagy szakmai rendezvényen való egyéni részvétel esetén</w:t>
      </w:r>
    </w:p>
    <w:p w:rsidR="00521BB9" w:rsidRDefault="005D6D9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rial" w:eastAsia="Arial" w:hAnsi="Arial" w:cs="Arial"/>
          <w:b/>
          <w:bCs/>
          <w:color w:val="000000"/>
        </w:rPr>
      </w:pPr>
      <w:bookmarkStart w:id="19" w:name="_heading=h.7qzz8tl4yifk" w:colFirst="0" w:colLast="0"/>
      <w:bookmarkEnd w:id="19"/>
      <w:r>
        <w:rPr>
          <w:rFonts w:ascii="Arial" w:eastAsia="Arial" w:hAnsi="Arial" w:cs="Arial"/>
          <w:b/>
          <w:bCs/>
          <w:color w:val="000000"/>
        </w:rPr>
        <w:t>egyházi tolmácsolás</w:t>
      </w:r>
      <w:r>
        <w:rPr>
          <w:rFonts w:ascii="Arial" w:eastAsia="Arial" w:hAnsi="Arial" w:cs="Arial"/>
          <w:color w:val="000000"/>
        </w:rPr>
        <w:t>: csak a szertartásokon való egyéni részvétel során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20" w:name="_heading=h.js0jqolu81tc" w:colFirst="0" w:colLast="0"/>
      <w:bookmarkEnd w:id="20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A térítésmentes jelnyelvi tolmácsszolgáltatásra való jogosultság meghatározása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Térítésmentes jelnyelvi tolmácsszolgáltatást az a magyar állampolgársággal, vagy a szabad mozgás és tartózkodás jogával rendelkező, valamint bevándorolt és letelepedett hallássérült, illetve siketvak személy vehet igénybe, </w:t>
      </w:r>
    </w:p>
    <w:p w:rsidR="00521BB9" w:rsidRDefault="005D6D9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aki </w:t>
      </w:r>
      <w:r>
        <w:rPr>
          <w:rFonts w:ascii="Arial" w:eastAsia="Arial" w:hAnsi="Arial" w:cs="Arial"/>
          <w:b/>
          <w:bCs/>
          <w:color w:val="000000"/>
        </w:rPr>
        <w:t>magasabb összegű családi pótlék</w:t>
      </w:r>
      <w:r>
        <w:rPr>
          <w:rFonts w:ascii="Arial" w:eastAsia="Arial" w:hAnsi="Arial" w:cs="Arial"/>
          <w:color w:val="000000"/>
        </w:rPr>
        <w:t xml:space="preserve">ban részesül, </w:t>
      </w:r>
      <w:r>
        <w:rPr>
          <w:rFonts w:ascii="Arial" w:eastAsia="Arial" w:hAnsi="Arial" w:cs="Arial"/>
          <w:b/>
          <w:bCs/>
          <w:color w:val="000000"/>
        </w:rPr>
        <w:t>vagy</w:t>
      </w:r>
      <w:r>
        <w:rPr>
          <w:rFonts w:ascii="Arial" w:eastAsia="Arial" w:hAnsi="Arial" w:cs="Arial"/>
          <w:color w:val="000000"/>
        </w:rPr>
        <w:t xml:space="preserve"> </w:t>
      </w:r>
    </w:p>
    <w:p w:rsidR="00521BB9" w:rsidRDefault="005D6D9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aki </w:t>
      </w:r>
      <w:r>
        <w:rPr>
          <w:rFonts w:ascii="Arial" w:eastAsia="Arial" w:hAnsi="Arial" w:cs="Arial"/>
          <w:b/>
          <w:bCs/>
          <w:color w:val="000000"/>
        </w:rPr>
        <w:t>fogyatékossági támogatás</w:t>
      </w:r>
      <w:r>
        <w:rPr>
          <w:rFonts w:ascii="Arial" w:eastAsia="Arial" w:hAnsi="Arial" w:cs="Arial"/>
          <w:color w:val="000000"/>
        </w:rPr>
        <w:t xml:space="preserve">ban részesül, vagy </w:t>
      </w:r>
    </w:p>
    <w:p w:rsidR="00521BB9" w:rsidRDefault="005D6D9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akinek hallássérülése legalább az </w:t>
      </w:r>
      <w:r>
        <w:rPr>
          <w:rFonts w:ascii="Arial" w:eastAsia="Arial" w:hAnsi="Arial" w:cs="Arial"/>
          <w:b/>
          <w:bCs/>
          <w:color w:val="000000"/>
        </w:rPr>
        <w:t>egyik fülön</w:t>
      </w:r>
      <w:r>
        <w:rPr>
          <w:rFonts w:ascii="Arial" w:eastAsia="Arial" w:hAnsi="Arial" w:cs="Arial"/>
          <w:color w:val="000000"/>
        </w:rPr>
        <w:t xml:space="preserve"> meghaladja a </w:t>
      </w:r>
      <w:r>
        <w:rPr>
          <w:rFonts w:ascii="Arial" w:eastAsia="Arial" w:hAnsi="Arial" w:cs="Arial"/>
          <w:b/>
          <w:bCs/>
          <w:color w:val="000000"/>
        </w:rPr>
        <w:t>60 dB</w:t>
      </w:r>
      <w:r>
        <w:rPr>
          <w:rFonts w:ascii="Arial" w:eastAsia="Arial" w:hAnsi="Arial" w:cs="Arial"/>
          <w:color w:val="000000"/>
        </w:rPr>
        <w:t xml:space="preserve">-t, </w:t>
      </w:r>
      <w:r>
        <w:rPr>
          <w:rFonts w:ascii="Arial" w:eastAsia="Arial" w:hAnsi="Arial" w:cs="Arial"/>
          <w:b/>
          <w:bCs/>
          <w:color w:val="000000"/>
        </w:rPr>
        <w:t>vagy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mindkét fülön a 40 dB</w:t>
      </w:r>
      <w:r>
        <w:rPr>
          <w:rFonts w:ascii="Arial" w:eastAsia="Arial" w:hAnsi="Arial" w:cs="Arial"/>
          <w:color w:val="000000"/>
        </w:rPr>
        <w:t xml:space="preserve">-t, </w:t>
      </w:r>
      <w:r>
        <w:rPr>
          <w:rFonts w:ascii="Arial" w:eastAsia="Arial" w:hAnsi="Arial" w:cs="Arial"/>
          <w:b/>
          <w:bCs/>
          <w:color w:val="000000"/>
        </w:rPr>
        <w:t>vagy</w:t>
      </w:r>
      <w:r>
        <w:rPr>
          <w:rFonts w:ascii="Arial" w:eastAsia="Arial" w:hAnsi="Arial" w:cs="Arial"/>
          <w:color w:val="000000"/>
        </w:rPr>
        <w:t xml:space="preserve"> </w:t>
      </w:r>
    </w:p>
    <w:p w:rsidR="00521BB9" w:rsidRDefault="005D6D9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akinek fogyatékossága – a BNO-10-es osztályozása szerint – </w:t>
      </w:r>
      <w:r>
        <w:rPr>
          <w:rFonts w:ascii="Arial" w:eastAsia="Arial" w:hAnsi="Arial" w:cs="Arial"/>
          <w:b/>
          <w:bCs/>
          <w:color w:val="000000"/>
        </w:rPr>
        <w:t>egyidejűleg a H54-es és a H90-es csoport</w:t>
      </w:r>
      <w:r>
        <w:rPr>
          <w:rFonts w:ascii="Arial" w:eastAsia="Arial" w:hAnsi="Arial" w:cs="Arial"/>
          <w:color w:val="000000"/>
        </w:rPr>
        <w:t xml:space="preserve">ba tartozik. 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 térítésmentes jelnyelvi tolmácsszolgáltatás időkeretei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Az állam által biztosított térítésmentes jelnyelvi tolmácsszolgáltatás időkerete személyenként legfeljebb </w:t>
      </w:r>
      <w:r>
        <w:rPr>
          <w:rFonts w:ascii="Arial" w:eastAsia="Arial" w:hAnsi="Arial" w:cs="Arial"/>
          <w:b/>
          <w:bCs/>
          <w:color w:val="000000"/>
        </w:rPr>
        <w:t>évi 120 óra</w:t>
      </w:r>
      <w:r>
        <w:rPr>
          <w:rFonts w:ascii="Arial" w:eastAsia="Arial" w:hAnsi="Arial" w:cs="Arial"/>
          <w:color w:val="000000"/>
        </w:rPr>
        <w:t xml:space="preserve">. 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Az éves </w:t>
      </w:r>
      <w:proofErr w:type="spellStart"/>
      <w:r>
        <w:rPr>
          <w:rFonts w:ascii="Arial" w:eastAsia="Arial" w:hAnsi="Arial" w:cs="Arial"/>
          <w:color w:val="000000"/>
        </w:rPr>
        <w:t>személyenkénti</w:t>
      </w:r>
      <w:proofErr w:type="spellEnd"/>
      <w:r>
        <w:rPr>
          <w:rFonts w:ascii="Arial" w:eastAsia="Arial" w:hAnsi="Arial" w:cs="Arial"/>
          <w:color w:val="000000"/>
        </w:rPr>
        <w:t xml:space="preserve"> időkereten felül az állam </w:t>
      </w:r>
      <w:proofErr w:type="gramStart"/>
      <w:r>
        <w:rPr>
          <w:rFonts w:ascii="Arial" w:eastAsia="Arial" w:hAnsi="Arial" w:cs="Arial"/>
          <w:color w:val="000000"/>
        </w:rPr>
        <w:t>speciális</w:t>
      </w:r>
      <w:proofErr w:type="gramEnd"/>
      <w:r>
        <w:rPr>
          <w:rFonts w:ascii="Arial" w:eastAsia="Arial" w:hAnsi="Arial" w:cs="Arial"/>
          <w:color w:val="000000"/>
        </w:rPr>
        <w:t xml:space="preserve"> órakeret formájában további térítésmentes jelnyelvi tolmácsszolgáltatást biztosít az alábbi esetekben: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a)  az óvodai nevelés során évenként 200 óra, a tanulói jogviszonnyal </w:t>
      </w:r>
      <w:proofErr w:type="gramStart"/>
      <w:r>
        <w:rPr>
          <w:rFonts w:ascii="Arial" w:eastAsia="Arial" w:hAnsi="Arial" w:cs="Arial"/>
          <w:color w:val="000000"/>
        </w:rPr>
        <w:t>összefüggésben</w:t>
      </w:r>
      <w:proofErr w:type="gramEnd"/>
      <w:r>
        <w:rPr>
          <w:rFonts w:ascii="Arial" w:eastAsia="Arial" w:hAnsi="Arial" w:cs="Arial"/>
          <w:color w:val="000000"/>
        </w:rPr>
        <w:t xml:space="preserve"> az általános iskolában, a gimnáziumban, a szakképző intézményben tanulói jogviszonyban álló személy részére tanévenként 400 óra;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b) a hallgatói jogviszonnyal összefüggésben a felsőoktatási hallgatói jogviszonyban álló személy részére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ba</w:t>
      </w:r>
      <w:proofErr w:type="spellEnd"/>
      <w:r>
        <w:rPr>
          <w:rFonts w:ascii="Arial" w:eastAsia="Arial" w:hAnsi="Arial" w:cs="Arial"/>
          <w:color w:val="000000"/>
        </w:rPr>
        <w:t>) nappali rendszerű képzésben történő részvétel esetén szemeszterenként 200 óra,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bb</w:t>
      </w:r>
      <w:proofErr w:type="spellEnd"/>
      <w:r>
        <w:rPr>
          <w:rFonts w:ascii="Arial" w:eastAsia="Arial" w:hAnsi="Arial" w:cs="Arial"/>
          <w:color w:val="000000"/>
        </w:rPr>
        <w:t>) levelező rendszerű képzésben történő részvétel esetén szemeszterenként 100 óra;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c) a képzéssel </w:t>
      </w:r>
      <w:proofErr w:type="gramStart"/>
      <w:r>
        <w:rPr>
          <w:rFonts w:ascii="Arial" w:eastAsia="Arial" w:hAnsi="Arial" w:cs="Arial"/>
          <w:color w:val="000000"/>
        </w:rPr>
        <w:t>összefüggésben</w:t>
      </w:r>
      <w:proofErr w:type="gramEnd"/>
      <w:r>
        <w:rPr>
          <w:rFonts w:ascii="Arial" w:eastAsia="Arial" w:hAnsi="Arial" w:cs="Arial"/>
          <w:color w:val="000000"/>
        </w:rPr>
        <w:t xml:space="preserve"> a felnőttképzésben részt vevő személy részére képzésenként a képzés óraszáma 60 százalékának megfelelő mértékű;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d) A Jelnyelvi Törvény mellékletében felsorolt </w:t>
      </w:r>
      <w:proofErr w:type="gramStart"/>
      <w:r>
        <w:rPr>
          <w:rFonts w:ascii="Arial" w:eastAsia="Arial" w:hAnsi="Arial" w:cs="Arial"/>
          <w:color w:val="000000"/>
        </w:rPr>
        <w:t>speciális</w:t>
      </w:r>
      <w:proofErr w:type="gramEnd"/>
      <w:r>
        <w:rPr>
          <w:rFonts w:ascii="Arial" w:eastAsia="Arial" w:hAnsi="Arial" w:cs="Arial"/>
          <w:color w:val="000000"/>
        </w:rPr>
        <w:t xml:space="preserve"> kommunikációs rendszerek használatával kommunikáló hallássérült, valamint siketvak személy részére évenként 30 óra;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lastRenderedPageBreak/>
        <w:t>e</w:t>
      </w:r>
      <w:proofErr w:type="gramEnd"/>
      <w:r>
        <w:rPr>
          <w:rFonts w:ascii="Arial" w:eastAsia="Arial" w:hAnsi="Arial" w:cs="Arial"/>
          <w:color w:val="000000"/>
        </w:rPr>
        <w:t>) a foglalkoztatásra irányuló jogviszonyban álló hallássérült személy részére évenként 50 óra;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f</w:t>
      </w:r>
      <w:proofErr w:type="gramEnd"/>
      <w:r>
        <w:rPr>
          <w:rFonts w:ascii="Arial" w:eastAsia="Arial" w:hAnsi="Arial" w:cs="Arial"/>
          <w:color w:val="000000"/>
        </w:rPr>
        <w:t>) a társadalombiztosítás ellátásaira jogosultakról, valamint ezen ellátások fedezetéről szóló törvény szerinti egyéni vagy társas vállalkozó hallássérült személy részére évenként 50 óra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térítésmentes</w:t>
      </w:r>
      <w:proofErr w:type="gramEnd"/>
      <w:r>
        <w:rPr>
          <w:rFonts w:ascii="Arial" w:eastAsia="Arial" w:hAnsi="Arial" w:cs="Arial"/>
          <w:color w:val="000000"/>
        </w:rPr>
        <w:t xml:space="preserve"> jelnyelvi tolmácsszolgáltatást biztosít.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21" w:name="_heading=h.k3ypk0r4r5u7" w:colFirst="0" w:colLast="0"/>
      <w:bookmarkEnd w:id="21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A térítésmentes jelnyelvi tolmácsszolgáltatásra, valamint a </w:t>
      </w:r>
      <w:proofErr w:type="gram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speciális</w:t>
      </w:r>
      <w:proofErr w:type="gram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órakeret igénybevételéhez való jogosultság igazolásának módja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 térítésmentes jelnyelvi tolmácsszolgáltatás az </w:t>
      </w:r>
      <w:r>
        <w:rPr>
          <w:rFonts w:ascii="Arial" w:eastAsia="Arial" w:hAnsi="Arial" w:cs="Arial"/>
          <w:i/>
          <w:iCs/>
          <w:color w:val="000000"/>
        </w:rPr>
        <w:t xml:space="preserve">a) </w:t>
      </w:r>
      <w:r>
        <w:rPr>
          <w:rFonts w:ascii="Arial" w:eastAsia="Arial" w:hAnsi="Arial" w:cs="Arial"/>
          <w:color w:val="000000"/>
        </w:rPr>
        <w:t xml:space="preserve">és </w:t>
      </w:r>
      <w:r>
        <w:rPr>
          <w:rFonts w:ascii="Arial" w:eastAsia="Arial" w:hAnsi="Arial" w:cs="Arial"/>
          <w:i/>
          <w:iCs/>
          <w:color w:val="000000"/>
        </w:rPr>
        <w:t xml:space="preserve">b) </w:t>
      </w:r>
      <w:r>
        <w:rPr>
          <w:rFonts w:ascii="Arial" w:eastAsia="Arial" w:hAnsi="Arial" w:cs="Arial"/>
          <w:color w:val="000000"/>
        </w:rPr>
        <w:t xml:space="preserve">pontban meghatározott esetben az ellátást </w:t>
      </w:r>
      <w:r>
        <w:rPr>
          <w:rFonts w:ascii="Arial" w:eastAsia="Arial" w:hAnsi="Arial" w:cs="Arial"/>
          <w:b/>
          <w:bCs/>
          <w:color w:val="000000"/>
        </w:rPr>
        <w:t>megállapító határozat,</w:t>
      </w:r>
      <w:r>
        <w:rPr>
          <w:rFonts w:ascii="Arial" w:eastAsia="Arial" w:hAnsi="Arial" w:cs="Arial"/>
          <w:color w:val="000000"/>
        </w:rPr>
        <w:t xml:space="preserve"> illetve a </w:t>
      </w:r>
      <w:r>
        <w:rPr>
          <w:rFonts w:ascii="Arial" w:eastAsia="Arial" w:hAnsi="Arial" w:cs="Arial"/>
          <w:i/>
          <w:iCs/>
          <w:color w:val="000000"/>
        </w:rPr>
        <w:t xml:space="preserve">c) </w:t>
      </w:r>
      <w:r>
        <w:rPr>
          <w:rFonts w:ascii="Arial" w:eastAsia="Arial" w:hAnsi="Arial" w:cs="Arial"/>
          <w:color w:val="000000"/>
        </w:rPr>
        <w:t xml:space="preserve">és </w:t>
      </w:r>
      <w:r>
        <w:rPr>
          <w:rFonts w:ascii="Arial" w:eastAsia="Arial" w:hAnsi="Arial" w:cs="Arial"/>
          <w:i/>
          <w:iCs/>
          <w:color w:val="000000"/>
        </w:rPr>
        <w:t xml:space="preserve">d) </w:t>
      </w:r>
      <w:r>
        <w:rPr>
          <w:rFonts w:ascii="Arial" w:eastAsia="Arial" w:hAnsi="Arial" w:cs="Arial"/>
          <w:color w:val="000000"/>
        </w:rPr>
        <w:t xml:space="preserve">pontban meghatározott esetben </w:t>
      </w:r>
      <w:r>
        <w:rPr>
          <w:rFonts w:ascii="Arial" w:eastAsia="Arial" w:hAnsi="Arial" w:cs="Arial"/>
          <w:b/>
          <w:bCs/>
          <w:color w:val="000000"/>
        </w:rPr>
        <w:t>szakorvosi igazolás</w:t>
      </w:r>
      <w:r>
        <w:rPr>
          <w:rFonts w:ascii="Arial" w:eastAsia="Arial" w:hAnsi="Arial" w:cs="Arial"/>
          <w:color w:val="000000"/>
        </w:rPr>
        <w:t xml:space="preserve">, illetve szakorvos által kiadott </w:t>
      </w:r>
      <w:proofErr w:type="spellStart"/>
      <w:r>
        <w:rPr>
          <w:rFonts w:ascii="Arial" w:eastAsia="Arial" w:hAnsi="Arial" w:cs="Arial"/>
          <w:b/>
          <w:bCs/>
          <w:color w:val="000000"/>
        </w:rPr>
        <w:t>audiogram</w:t>
      </w:r>
      <w:proofErr w:type="spellEnd"/>
      <w:r>
        <w:rPr>
          <w:rFonts w:ascii="Arial" w:eastAsia="Arial" w:hAnsi="Arial" w:cs="Arial"/>
          <w:color w:val="000000"/>
        </w:rPr>
        <w:t xml:space="preserve"> bemutatásával vehető igénybe. 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 térítésmentes jelnyelvi tolmácsszolgáltatásra jogosító „a magyar jelnyelvről és a magyar jelnyelv használatáról” szóló 2009. évi CXXV. tv. (továbbiakban </w:t>
      </w:r>
      <w:proofErr w:type="spellStart"/>
      <w:r>
        <w:rPr>
          <w:rFonts w:ascii="Arial" w:eastAsia="Arial" w:hAnsi="Arial" w:cs="Arial"/>
          <w:color w:val="000000"/>
        </w:rPr>
        <w:t>Jtv</w:t>
      </w:r>
      <w:proofErr w:type="spellEnd"/>
      <w:r>
        <w:rPr>
          <w:rFonts w:ascii="Arial" w:eastAsia="Arial" w:hAnsi="Arial" w:cs="Arial"/>
          <w:color w:val="000000"/>
        </w:rPr>
        <w:t xml:space="preserve">.) 4.§ (2) bekezdése szerinti </w:t>
      </w:r>
      <w:r>
        <w:rPr>
          <w:rFonts w:ascii="Arial" w:eastAsia="Arial" w:hAnsi="Arial" w:cs="Arial"/>
          <w:b/>
          <w:bCs/>
          <w:color w:val="000000"/>
        </w:rPr>
        <w:t>okiratot vagy igazolást</w:t>
      </w:r>
      <w:r>
        <w:rPr>
          <w:rFonts w:ascii="Arial" w:eastAsia="Arial" w:hAnsi="Arial" w:cs="Arial"/>
          <w:color w:val="000000"/>
        </w:rPr>
        <w:t xml:space="preserve">, az annak alapján elsőként igénybe vett térítésmentes jelnyelvi tolmácsolás megkezdése előtt kell bemutatni a szakmai vezető jelnyelvi tolmácsnak. (62/2011. (XI.10.) NEFMI rendelet a jelnyelvi tolmácsszolgálatok működésének és a jelnyelvi tolmácsszolgáltatás igénybevételének feltételeiről (továbbiakban </w:t>
      </w:r>
      <w:proofErr w:type="spellStart"/>
      <w:r>
        <w:rPr>
          <w:rFonts w:ascii="Arial" w:eastAsia="Arial" w:hAnsi="Arial" w:cs="Arial"/>
          <w:color w:val="000000"/>
        </w:rPr>
        <w:t>Jmr</w:t>
      </w:r>
      <w:proofErr w:type="spellEnd"/>
      <w:r>
        <w:rPr>
          <w:rFonts w:ascii="Arial" w:eastAsia="Arial" w:hAnsi="Arial" w:cs="Arial"/>
          <w:color w:val="000000"/>
        </w:rPr>
        <w:t>.) 39. § (1) bekezdés)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 térítésmentes jelnyelvi tolmácsszolgáltatás a bemutatott </w:t>
      </w:r>
      <w:r>
        <w:rPr>
          <w:rFonts w:ascii="Arial" w:eastAsia="Arial" w:hAnsi="Arial" w:cs="Arial"/>
          <w:b/>
          <w:bCs/>
          <w:color w:val="000000"/>
        </w:rPr>
        <w:t>okirat, igazolás</w:t>
      </w:r>
      <w:r>
        <w:rPr>
          <w:rFonts w:ascii="Arial" w:eastAsia="Arial" w:hAnsi="Arial" w:cs="Arial"/>
          <w:color w:val="000000"/>
        </w:rPr>
        <w:t xml:space="preserve"> érvényességi idején belül minden további esetben a </w:t>
      </w:r>
      <w:r>
        <w:rPr>
          <w:rFonts w:ascii="Arial" w:eastAsia="Arial" w:hAnsi="Arial" w:cs="Arial"/>
          <w:b/>
          <w:bCs/>
          <w:color w:val="000000"/>
        </w:rPr>
        <w:t>személyazonosság igazolására alkalmas okirat bemutatásával vehető</w:t>
      </w:r>
      <w:r>
        <w:rPr>
          <w:rFonts w:ascii="Arial" w:eastAsia="Arial" w:hAnsi="Arial" w:cs="Arial"/>
          <w:color w:val="000000"/>
        </w:rPr>
        <w:t xml:space="preserve"> igénybe. (</w:t>
      </w:r>
      <w:proofErr w:type="spellStart"/>
      <w:r>
        <w:rPr>
          <w:rFonts w:ascii="Arial" w:eastAsia="Arial" w:hAnsi="Arial" w:cs="Arial"/>
          <w:color w:val="000000"/>
        </w:rPr>
        <w:t>Jmr</w:t>
      </w:r>
      <w:proofErr w:type="spellEnd"/>
      <w:r>
        <w:rPr>
          <w:rFonts w:ascii="Arial" w:eastAsia="Arial" w:hAnsi="Arial" w:cs="Arial"/>
          <w:color w:val="000000"/>
        </w:rPr>
        <w:t>. 39. § (5) bekezdés)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 </w:t>
      </w:r>
      <w:proofErr w:type="gramStart"/>
      <w:r>
        <w:rPr>
          <w:rFonts w:ascii="Arial" w:eastAsia="Arial" w:hAnsi="Arial" w:cs="Arial"/>
          <w:color w:val="000000"/>
        </w:rPr>
        <w:t>speciális</w:t>
      </w:r>
      <w:proofErr w:type="gramEnd"/>
      <w:r>
        <w:rPr>
          <w:rFonts w:ascii="Arial" w:eastAsia="Arial" w:hAnsi="Arial" w:cs="Arial"/>
          <w:color w:val="000000"/>
        </w:rPr>
        <w:t xml:space="preserve"> órakeretek a </w:t>
      </w:r>
      <w:proofErr w:type="spellStart"/>
      <w:r>
        <w:rPr>
          <w:rFonts w:ascii="Arial" w:eastAsia="Arial" w:hAnsi="Arial" w:cs="Arial"/>
          <w:color w:val="000000"/>
        </w:rPr>
        <w:t>Jtv</w:t>
      </w:r>
      <w:proofErr w:type="spellEnd"/>
      <w:r>
        <w:rPr>
          <w:rFonts w:ascii="Arial" w:eastAsia="Arial" w:hAnsi="Arial" w:cs="Arial"/>
          <w:color w:val="000000"/>
        </w:rPr>
        <w:t xml:space="preserve">. 5. § (2) bekezdésének </w:t>
      </w:r>
      <w:r>
        <w:rPr>
          <w:rFonts w:ascii="Arial" w:eastAsia="Arial" w:hAnsi="Arial" w:cs="Arial"/>
          <w:i/>
          <w:iCs/>
          <w:color w:val="000000"/>
        </w:rPr>
        <w:t>a)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i/>
          <w:iCs/>
          <w:color w:val="000000"/>
        </w:rPr>
        <w:t>b)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i/>
          <w:iCs/>
          <w:color w:val="000000"/>
        </w:rPr>
        <w:t xml:space="preserve">c) </w:t>
      </w:r>
      <w:r>
        <w:rPr>
          <w:rFonts w:ascii="Arial" w:eastAsia="Arial" w:hAnsi="Arial" w:cs="Arial"/>
          <w:color w:val="000000"/>
        </w:rPr>
        <w:t>pontja szerinti okiratok, igazolások bemutatásával vehetők igénybe. (</w:t>
      </w:r>
      <w:proofErr w:type="spellStart"/>
      <w:r>
        <w:rPr>
          <w:rFonts w:ascii="Arial" w:eastAsia="Arial" w:hAnsi="Arial" w:cs="Arial"/>
          <w:color w:val="000000"/>
        </w:rPr>
        <w:t>Jmr</w:t>
      </w:r>
      <w:proofErr w:type="spellEnd"/>
      <w:r>
        <w:rPr>
          <w:rFonts w:ascii="Arial" w:eastAsia="Arial" w:hAnsi="Arial" w:cs="Arial"/>
          <w:color w:val="000000"/>
        </w:rPr>
        <w:t xml:space="preserve">. 39. § (2) bekezdés). Az okiratokat, igazolásokat az első, </w:t>
      </w:r>
      <w:proofErr w:type="gramStart"/>
      <w:r>
        <w:rPr>
          <w:rFonts w:ascii="Arial" w:eastAsia="Arial" w:hAnsi="Arial" w:cs="Arial"/>
          <w:color w:val="000000"/>
        </w:rPr>
        <w:t>speciális</w:t>
      </w:r>
      <w:proofErr w:type="gramEnd"/>
      <w:r>
        <w:rPr>
          <w:rFonts w:ascii="Arial" w:eastAsia="Arial" w:hAnsi="Arial" w:cs="Arial"/>
          <w:color w:val="000000"/>
        </w:rPr>
        <w:t xml:space="preserve"> órakeret terhére igénybe vett térítésmentes jelnyelvi tolmácsolás megkezdése előtt kell bemutatni a szakmai vezető jelnyelvi tolmácsnak. (</w:t>
      </w:r>
      <w:proofErr w:type="spellStart"/>
      <w:r>
        <w:rPr>
          <w:rFonts w:ascii="Arial" w:eastAsia="Arial" w:hAnsi="Arial" w:cs="Arial"/>
          <w:color w:val="000000"/>
        </w:rPr>
        <w:t>Jmr</w:t>
      </w:r>
      <w:proofErr w:type="spellEnd"/>
      <w:r>
        <w:rPr>
          <w:rFonts w:ascii="Arial" w:eastAsia="Arial" w:hAnsi="Arial" w:cs="Arial"/>
          <w:color w:val="000000"/>
        </w:rPr>
        <w:t>. 39. § (3) bekezdés)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22" w:name="_heading=h.bcld6deo8me5" w:colFirst="0" w:colLast="0"/>
      <w:bookmarkEnd w:id="22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Eljárásrend a térítésmentes jelnyelvi tolmácsszolgáltatás időkereteinek kimerülése esetén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Ha az igénybe vevőnek </w:t>
      </w:r>
    </w:p>
    <w:p w:rsidR="00521BB9" w:rsidRDefault="005D6D9D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az általános órakeretéből, vagy </w:t>
      </w:r>
    </w:p>
    <w:p w:rsidR="00521BB9" w:rsidRDefault="005D6D9D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– tanulói jogviszonnyal, hallgatói jogviszonnyal, illetve felnőttképzésben való részvétellel összefüggésben történő igénybevétel esetén </w:t>
      </w: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az adott tolmácsolás kapcsán felhasználható </w:t>
      </w:r>
      <w:proofErr w:type="gramStart"/>
      <w:r>
        <w:rPr>
          <w:rFonts w:ascii="Arial" w:eastAsia="Arial" w:hAnsi="Arial" w:cs="Arial"/>
          <w:color w:val="000000"/>
        </w:rPr>
        <w:t>speciális</w:t>
      </w:r>
      <w:proofErr w:type="gramEnd"/>
      <w:r>
        <w:rPr>
          <w:rFonts w:ascii="Arial" w:eastAsia="Arial" w:hAnsi="Arial" w:cs="Arial"/>
          <w:color w:val="000000"/>
        </w:rPr>
        <w:t xml:space="preserve"> órakeretéből még rendelkezésre álló idő nem éri el a 10 órát, vagy az órakeret kimerült, erre </w:t>
      </w:r>
      <w:r>
        <w:rPr>
          <w:rFonts w:ascii="Arial" w:eastAsia="Arial" w:hAnsi="Arial" w:cs="Arial"/>
          <w:b/>
          <w:bCs/>
          <w:color w:val="000000"/>
        </w:rPr>
        <w:t>a tolmácsszolgálatunk munkatársa a tolmácsolás megkezdése előtt írásban felhívja a figyelmét.</w:t>
      </w:r>
      <w:r>
        <w:rPr>
          <w:rFonts w:ascii="Arial" w:eastAsia="Arial" w:hAnsi="Arial" w:cs="Arial"/>
          <w:color w:val="000000"/>
        </w:rPr>
        <w:t xml:space="preserve"> 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Ha az igénybe vevő általános órakerete a tolmácsolási helyzet közben merül ki, és az adott tolmácsolás kapcsán felhasználható speciális órakeretéből még valamennyi </w:t>
      </w:r>
      <w:proofErr w:type="gramStart"/>
      <w:r>
        <w:rPr>
          <w:rFonts w:ascii="Arial" w:eastAsia="Arial" w:hAnsi="Arial" w:cs="Arial"/>
          <w:color w:val="000000"/>
        </w:rPr>
        <w:t>idő rendelkezésre</w:t>
      </w:r>
      <w:proofErr w:type="gramEnd"/>
      <w:r>
        <w:rPr>
          <w:rFonts w:ascii="Arial" w:eastAsia="Arial" w:hAnsi="Arial" w:cs="Arial"/>
          <w:color w:val="000000"/>
        </w:rPr>
        <w:t xml:space="preserve"> áll, választása szerint a tolmácsolást ezen órakeret terhére veheti igénybe. 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Egyéb esetben a </w:t>
      </w:r>
      <w:r>
        <w:rPr>
          <w:rFonts w:ascii="Arial" w:eastAsia="Arial" w:hAnsi="Arial" w:cs="Arial"/>
          <w:b/>
          <w:bCs/>
          <w:color w:val="000000"/>
        </w:rPr>
        <w:t>jelnyelvi tolmácsolás a továbbiakban térítés ellenében vehető igénybe</w:t>
      </w:r>
      <w:r>
        <w:rPr>
          <w:rFonts w:ascii="Arial" w:eastAsia="Arial" w:hAnsi="Arial" w:cs="Arial"/>
          <w:color w:val="000000"/>
        </w:rPr>
        <w:t>. Erről az igénybe vevőt legkésőbb az órakeret kimerülésekor tájékoztatni fogjuk. 15 perc tolmácsolás = 1500Ft+ÁFA.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23" w:name="_heading=h.8b9k8ol4447a" w:colFirst="0" w:colLast="0"/>
      <w:bookmarkEnd w:id="23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Költségtérítéses jelnyelvi tolmácsszolgáltatás és annak díjjegyzéke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i/>
          <w:iCs/>
          <w:color w:val="000000"/>
        </w:rPr>
      </w:pPr>
      <w:bookmarkStart w:id="24" w:name="_heading=h.nozc5kufinjn" w:colFirst="0" w:colLast="0"/>
      <w:bookmarkEnd w:id="24"/>
      <w:r>
        <w:rPr>
          <w:rFonts w:ascii="Arial" w:eastAsia="Arial" w:hAnsi="Arial" w:cs="Arial"/>
          <w:b/>
          <w:bCs/>
          <w:color w:val="000000"/>
        </w:rPr>
        <w:t>Költségtérítéses tolmácsolási helyzetek:</w:t>
      </w:r>
      <w:r>
        <w:rPr>
          <w:rFonts w:ascii="Arial" w:eastAsia="Arial" w:hAnsi="Arial" w:cs="Arial"/>
          <w:i/>
          <w:iCs/>
          <w:color w:val="000000"/>
        </w:rPr>
        <w:t xml:space="preserve"> </w:t>
      </w: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Amennyiben a tolmácsolást halló ügyfél vagy intézmény rendeli meg, illetve, ha a kapcsolat </w:t>
      </w:r>
      <w:r>
        <w:rPr>
          <w:rFonts w:ascii="Arial" w:eastAsia="Arial" w:hAnsi="Arial" w:cs="Arial"/>
          <w:b/>
          <w:bCs/>
          <w:color w:val="000000"/>
        </w:rPr>
        <w:t>létrejöttében a halló fél vagy az intézmény érdekelt haszonszerzés céljából. Továbbá azok a</w:t>
      </w:r>
      <w:r>
        <w:rPr>
          <w:rFonts w:ascii="Arial" w:eastAsia="Arial" w:hAnsi="Arial" w:cs="Arial"/>
          <w:color w:val="000000"/>
        </w:rPr>
        <w:t xml:space="preserve"> tolmácsolási esetek, amelyekben a halló félt vagy intézményt jogszabály kötelezi.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költségtérítéses tolmácsszolgáltatás díjazásának megállapítása feladategységen</w:t>
      </w:r>
      <w:r>
        <w:rPr>
          <w:rFonts w:ascii="Arial" w:eastAsia="Arial" w:hAnsi="Arial" w:cs="Arial"/>
          <w:color w:val="000000"/>
          <w:vertAlign w:val="superscript"/>
        </w:rPr>
        <w:footnoteReference w:id="2"/>
      </w:r>
      <w:r>
        <w:rPr>
          <w:rFonts w:ascii="Arial" w:eastAsia="Arial" w:hAnsi="Arial" w:cs="Arial"/>
          <w:color w:val="000000"/>
        </w:rPr>
        <w:t xml:space="preserve"> alapul. A feladategységre eső díjazás összege az alábbiak alapján kerülnek meghatározásra tolmácsolási helyzetekre vonatkoztatva: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numPr>
          <w:ilvl w:val="0"/>
          <w:numId w:val="5"/>
        </w:numPr>
        <w:spacing w:after="0" w:line="240" w:lineRule="auto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A közigazgatási hatósági eljárás akadálymentesítése </w:t>
      </w:r>
      <w:r>
        <w:rPr>
          <w:rFonts w:ascii="Arial" w:eastAsia="Arial" w:hAnsi="Arial" w:cs="Arial"/>
        </w:rPr>
        <w:t>során közreműködő jelnyelvi tolmácsok</w:t>
      </w:r>
      <w:r>
        <w:rPr>
          <w:rFonts w:ascii="Arial" w:eastAsia="Arial" w:hAnsi="Arial" w:cs="Arial"/>
          <w:b/>
          <w:bCs/>
        </w:rPr>
        <w:t xml:space="preserve"> munkadíja</w:t>
      </w:r>
      <w:r>
        <w:rPr>
          <w:rFonts w:ascii="Arial" w:eastAsia="Arial" w:hAnsi="Arial" w:cs="Arial"/>
        </w:rPr>
        <w:t xml:space="preserve"> óránként 6000 Ft+ Áfa.</w:t>
      </w:r>
      <w:r>
        <w:rPr>
          <w:rFonts w:ascii="Arial" w:eastAsia="Arial" w:hAnsi="Arial" w:cs="Arial"/>
          <w:color w:val="474747"/>
          <w:sz w:val="27"/>
          <w:szCs w:val="27"/>
          <w:highlight w:val="white"/>
        </w:rPr>
        <w:t xml:space="preserve"> </w:t>
      </w:r>
      <w:r>
        <w:rPr>
          <w:rFonts w:ascii="Arial" w:eastAsia="Arial" w:hAnsi="Arial" w:cs="Arial"/>
        </w:rPr>
        <w:t> A munkadíj megállapításánál minden megkezdett fél órát óraként kell figyelembe venni. Irányadó a 23/2017. (XII. 22.) IM rendelet a közigazgatási hatósági eljárásban közreműködő tolmácsok és jelnyelvi tolmácsok díjazásának szabályairól.</w:t>
      </w:r>
    </w:p>
    <w:p w:rsidR="00521BB9" w:rsidRDefault="005D6D9D">
      <w:pPr>
        <w:numPr>
          <w:ilvl w:val="0"/>
          <w:numId w:val="5"/>
        </w:numPr>
        <w:spacing w:after="0" w:line="240" w:lineRule="auto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közoktatásról szóló törvény, a szakképzésről szóló törvény, a felsőoktatásról szóló törvény és a felnőttképzésről szóló törvény alapján megszervezett </w:t>
      </w:r>
      <w:r>
        <w:rPr>
          <w:rFonts w:ascii="Arial" w:eastAsia="Arial" w:hAnsi="Arial" w:cs="Arial"/>
          <w:b/>
          <w:bCs/>
        </w:rPr>
        <w:t>szóbeli vizsgák tolmácsolása</w:t>
      </w:r>
      <w:r>
        <w:rPr>
          <w:rFonts w:ascii="Arial" w:eastAsia="Arial" w:hAnsi="Arial" w:cs="Arial"/>
        </w:rPr>
        <w:t xml:space="preserve"> során a jelnyelvi tolmácsolás költségét a vizsgát szervező intézmény viseli. Irányadó: 2009. évi CXXV. törvény a magyar jelnyelvről és a magyar jelnyelv használatáról 10§ (4).</w:t>
      </w:r>
      <w:r>
        <w:rPr>
          <w:rFonts w:ascii="Arial" w:eastAsia="Arial" w:hAnsi="Arial" w:cs="Arial"/>
          <w:color w:val="007AC3"/>
          <w:sz w:val="48"/>
          <w:szCs w:val="48"/>
        </w:rPr>
        <w:t xml:space="preserve"> </w:t>
      </w:r>
      <w:r>
        <w:rPr>
          <w:rFonts w:ascii="Arial" w:eastAsia="Arial" w:hAnsi="Arial" w:cs="Arial"/>
        </w:rPr>
        <w:t>62/2011. (XI. 10.) NEFMI rendelet alapján az egy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feladategységre jutó díj mértéke a kötelező legkisebb munkabér 2%-</w:t>
      </w:r>
      <w:proofErr w:type="gramStart"/>
      <w:r>
        <w:rPr>
          <w:rFonts w:ascii="Arial" w:eastAsia="Arial" w:hAnsi="Arial" w:cs="Arial"/>
        </w:rPr>
        <w:t>a.</w:t>
      </w:r>
      <w:proofErr w:type="gramEnd"/>
      <w:r>
        <w:rPr>
          <w:rFonts w:ascii="Arial" w:eastAsia="Arial" w:hAnsi="Arial" w:cs="Arial"/>
        </w:rPr>
        <w:t xml:space="preserve"> A munkadíj megállapításánál minden megkezdett 15 percet kell figyelembe venni.</w:t>
      </w:r>
    </w:p>
    <w:p w:rsidR="00521BB9" w:rsidRDefault="005D6D9D">
      <w:pPr>
        <w:numPr>
          <w:ilvl w:val="0"/>
          <w:numId w:val="5"/>
        </w:numPr>
        <w:spacing w:after="0" w:line="240" w:lineRule="auto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Közszolgáltatási tevékenység keretében történő tolmácsolás</w:t>
      </w:r>
      <w:r>
        <w:rPr>
          <w:rFonts w:ascii="Arial" w:eastAsia="Arial" w:hAnsi="Arial" w:cs="Arial"/>
        </w:rPr>
        <w:t xml:space="preserve"> esetén a </w:t>
      </w:r>
      <w:proofErr w:type="spellStart"/>
      <w:r>
        <w:rPr>
          <w:rFonts w:ascii="Arial" w:eastAsia="Arial" w:hAnsi="Arial" w:cs="Arial"/>
        </w:rPr>
        <w:t>Jtv</w:t>
      </w:r>
      <w:proofErr w:type="spellEnd"/>
      <w:proofErr w:type="gramStart"/>
      <w:r>
        <w:rPr>
          <w:rFonts w:ascii="Arial" w:eastAsia="Arial" w:hAnsi="Arial" w:cs="Arial"/>
        </w:rPr>
        <w:t>.,</w:t>
      </w:r>
      <w:proofErr w:type="gramEnd"/>
      <w:r>
        <w:rPr>
          <w:rFonts w:ascii="Arial" w:eastAsia="Arial" w:hAnsi="Arial" w:cs="Arial"/>
        </w:rPr>
        <w:t xml:space="preserve"> valamint a </w:t>
      </w:r>
      <w:proofErr w:type="spellStart"/>
      <w:r>
        <w:rPr>
          <w:rFonts w:ascii="Arial" w:eastAsia="Arial" w:hAnsi="Arial" w:cs="Arial"/>
        </w:rPr>
        <w:t>Jmr</w:t>
      </w:r>
      <w:proofErr w:type="spellEnd"/>
      <w:r>
        <w:rPr>
          <w:rFonts w:ascii="Arial" w:eastAsia="Arial" w:hAnsi="Arial" w:cs="Arial"/>
        </w:rPr>
        <w:t>. alapján a jelnyelvi tolmácsolás költségét a tevékenységet végző, illetve a szolgáltatást nyújtó szerv, szervezet vagy intézmény viseli. A díjazás megállapítása; a jelnyelvi tolmácsszolgáltatás feladategysége: minden megkezdett 15 perc. Az egy feladategységre jutó díjának mértéke a kötelező legkisebb munkabér 2%-a + ÁFA.</w:t>
      </w:r>
    </w:p>
    <w:p w:rsidR="00521BB9" w:rsidRDefault="005D6D9D">
      <w:pPr>
        <w:numPr>
          <w:ilvl w:val="0"/>
          <w:numId w:val="5"/>
        </w:numPr>
        <w:spacing w:after="0" w:line="240" w:lineRule="auto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 foglalkoztatási célú és munkahelyen igénybe vett tolmácsolás</w:t>
      </w:r>
      <w:r>
        <w:rPr>
          <w:rFonts w:ascii="Arial" w:eastAsia="Arial" w:hAnsi="Arial" w:cs="Arial"/>
        </w:rPr>
        <w:t xml:space="preserve"> esetén a térítési díjak megállapodás alapján kerülnek elszámolásra.</w:t>
      </w:r>
    </w:p>
    <w:p w:rsidR="00521BB9" w:rsidRDefault="005D6D9D">
      <w:pPr>
        <w:numPr>
          <w:ilvl w:val="0"/>
          <w:numId w:val="5"/>
        </w:numPr>
        <w:spacing w:after="0" w:line="240" w:lineRule="auto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Nagyobb hallgatóság előtt végzett tolmácsolás</w:t>
      </w:r>
      <w:r>
        <w:rPr>
          <w:rFonts w:ascii="Arial" w:eastAsia="Arial" w:hAnsi="Arial" w:cs="Arial"/>
        </w:rPr>
        <w:t xml:space="preserve"> pl. rendezvény, </w:t>
      </w:r>
      <w:proofErr w:type="gramStart"/>
      <w:r>
        <w:rPr>
          <w:rFonts w:ascii="Arial" w:eastAsia="Arial" w:hAnsi="Arial" w:cs="Arial"/>
        </w:rPr>
        <w:t>konferencia</w:t>
      </w:r>
      <w:proofErr w:type="gramEnd"/>
      <w:r>
        <w:rPr>
          <w:rFonts w:ascii="Arial" w:eastAsia="Arial" w:hAnsi="Arial" w:cs="Arial"/>
        </w:rPr>
        <w:t>, színház esetén a térítési díjak megállapodás alapján kerülnek elszámolásra.</w:t>
      </w:r>
    </w:p>
    <w:p w:rsidR="00521BB9" w:rsidRDefault="005D6D9D">
      <w:pPr>
        <w:numPr>
          <w:ilvl w:val="0"/>
          <w:numId w:val="5"/>
        </w:numPr>
        <w:spacing w:after="0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Konferenciatolmácsolás</w:t>
      </w:r>
      <w:r>
        <w:rPr>
          <w:rFonts w:ascii="Arial" w:eastAsia="Arial" w:hAnsi="Arial" w:cs="Arial"/>
        </w:rPr>
        <w:t xml:space="preserve"> (amennyiben a </w:t>
      </w:r>
      <w:proofErr w:type="gramStart"/>
      <w:r>
        <w:rPr>
          <w:rFonts w:ascii="Arial" w:eastAsia="Arial" w:hAnsi="Arial" w:cs="Arial"/>
        </w:rPr>
        <w:t>konferencia</w:t>
      </w:r>
      <w:proofErr w:type="gramEnd"/>
      <w:r>
        <w:rPr>
          <w:rFonts w:ascii="Arial" w:eastAsia="Arial" w:hAnsi="Arial" w:cs="Arial"/>
        </w:rPr>
        <w:t xml:space="preserve"> szervezője a megrendelő). A térítési díjak megállapodás alapján kerülnek elszámolásra.</w:t>
      </w:r>
    </w:p>
    <w:p w:rsidR="00521BB9" w:rsidRDefault="005D6D9D">
      <w:pPr>
        <w:numPr>
          <w:ilvl w:val="0"/>
          <w:numId w:val="5"/>
        </w:numPr>
        <w:spacing w:after="0" w:line="240" w:lineRule="auto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Csoport számára szabadidős tevékenység keretében történő tolmácsolás</w:t>
      </w:r>
      <w:r>
        <w:rPr>
          <w:rFonts w:ascii="Arial" w:eastAsia="Arial" w:hAnsi="Arial" w:cs="Arial"/>
        </w:rPr>
        <w:t xml:space="preserve"> a térítési díjak megállapodás alapján kerülnek elszámolásra.</w:t>
      </w:r>
    </w:p>
    <w:p w:rsidR="00521BB9" w:rsidRDefault="005D6D9D">
      <w:pPr>
        <w:numPr>
          <w:ilvl w:val="0"/>
          <w:numId w:val="5"/>
        </w:numPr>
        <w:spacing w:after="0" w:line="240" w:lineRule="auto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Médiatolmácsolás</w:t>
      </w:r>
      <w:r>
        <w:rPr>
          <w:rFonts w:ascii="Arial" w:eastAsia="Arial" w:hAnsi="Arial" w:cs="Arial"/>
        </w:rPr>
        <w:t xml:space="preserve"> (televíziós tolmácsolások). A térítési díjak megállapodás alapján kerülnek elszámolásra.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62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  <w:bookmarkStart w:id="25" w:name="_heading=h.klscfusnv6ie" w:colFirst="0" w:colLast="0"/>
      <w:bookmarkEnd w:id="25"/>
      <w:r>
        <w:rPr>
          <w:rFonts w:ascii="Arial" w:eastAsia="Arial" w:hAnsi="Arial" w:cs="Arial"/>
          <w:color w:val="000000"/>
        </w:rPr>
        <w:t>Minden esetben a megrendelő/ a tevékenységet, szolgáltatást végző szervezet köteles téríteni az igénybe vett szolgáltatás díját, a tolmácsolás helyszínére történő utazás költségeit (tömegközlekedés és/vagy saját gépkocsi használat, esetleges szállás) a jogszabályokban előírt módon.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firstLine="21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26" w:name="_heading=h.89f1ils2j7fm" w:colFirst="0" w:colLast="0"/>
      <w:bookmarkEnd w:id="26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Megrendelés módja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D6D9D">
      <w:pPr>
        <w:widowControl w:val="0"/>
        <w:spacing w:after="0" w:line="240" w:lineRule="auto"/>
        <w:ind w:left="1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Minden megrendelés esetében, a megrendelő köteles közölni az alábbi adatokat, melyeket a munkalapra felviszünk:</w:t>
      </w:r>
    </w:p>
    <w:p w:rsidR="00521BB9" w:rsidRDefault="005D6D9D">
      <w:pPr>
        <w:widowControl w:val="0"/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a tolmácsolás helyszíne, </w:t>
      </w:r>
    </w:p>
    <w:p w:rsidR="00521BB9" w:rsidRDefault="005D6D9D">
      <w:pPr>
        <w:widowControl w:val="0"/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ideje, </w:t>
      </w:r>
    </w:p>
    <w:p w:rsidR="00521BB9" w:rsidRDefault="005D6D9D">
      <w:pPr>
        <w:widowControl w:val="0"/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3. tervezett időtartama, </w:t>
      </w:r>
    </w:p>
    <w:p w:rsidR="00521BB9" w:rsidRDefault="005D6D9D">
      <w:pPr>
        <w:widowControl w:val="0"/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 tolmácsolás módja,</w:t>
      </w:r>
    </w:p>
    <w:p w:rsidR="00521BB9" w:rsidRDefault="005D6D9D">
      <w:pPr>
        <w:widowControl w:val="0"/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5. tolmácsolás típusa, </w:t>
      </w:r>
    </w:p>
    <w:p w:rsidR="00521BB9" w:rsidRDefault="005D6D9D">
      <w:pPr>
        <w:widowControl w:val="0"/>
        <w:spacing w:after="0" w:line="240" w:lineRule="auto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 az ügyfél elérhetősége, neve, címe,</w:t>
      </w:r>
    </w:p>
    <w:p w:rsidR="00521BB9" w:rsidRDefault="005D6D9D">
      <w:pPr>
        <w:widowControl w:val="0"/>
        <w:spacing w:after="0" w:line="240" w:lineRule="auto"/>
        <w:ind w:left="1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</w:t>
      </w:r>
    </w:p>
    <w:p w:rsidR="00521BB9" w:rsidRDefault="005D6D9D">
      <w:pPr>
        <w:widowControl w:val="0"/>
        <w:spacing w:after="0" w:line="240" w:lineRule="auto"/>
        <w:ind w:left="142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valamint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intézményi megrendelések</w:t>
      </w:r>
      <w:r>
        <w:rPr>
          <w:rFonts w:ascii="Arial" w:eastAsia="Arial" w:hAnsi="Arial" w:cs="Arial"/>
        </w:rPr>
        <w:t xml:space="preserve"> esetén:</w:t>
      </w:r>
    </w:p>
    <w:p w:rsidR="00521BB9" w:rsidRDefault="005D6D9D">
      <w:pPr>
        <w:widowControl w:val="0"/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7. a kapcsolattartó személy elérhetősége,</w:t>
      </w:r>
    </w:p>
    <w:p w:rsidR="00521BB9" w:rsidRDefault="005D6D9D">
      <w:pPr>
        <w:widowControl w:val="0"/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8. a kifizetés módja.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Tolmácsszolgálatunk a megrendeléseket ügyfélfogadási időben az alábbi lehetőségeken fogadja:</w:t>
      </w:r>
    </w:p>
    <w:p w:rsidR="00521BB9" w:rsidRDefault="005D6D9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személyesen</w:t>
      </w:r>
    </w:p>
    <w:p w:rsidR="00521BB9" w:rsidRDefault="005D6D9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rövid szöveges üzenet (SMS)</w:t>
      </w:r>
    </w:p>
    <w:p w:rsidR="00521BB9" w:rsidRDefault="005D6D9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telefon</w:t>
      </w:r>
    </w:p>
    <w:p w:rsidR="00521BB9" w:rsidRDefault="005D6D9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elektronikus levél</w:t>
      </w:r>
    </w:p>
    <w:p w:rsidR="00521BB9" w:rsidRDefault="005D6D9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video-hívás fogadására alkalmas eszköz útján</w:t>
      </w:r>
    </w:p>
    <w:p w:rsidR="00521BB9" w:rsidRDefault="005D6D9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postai küldemény útján</w:t>
      </w:r>
    </w:p>
    <w:p w:rsidR="00521BB9" w:rsidRDefault="005D6D9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online 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68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Kérjük, hogy a megrendeléseket legalább</w:t>
      </w:r>
      <w:r>
        <w:rPr>
          <w:rFonts w:ascii="Arial" w:eastAsia="Arial" w:hAnsi="Arial" w:cs="Arial"/>
          <w:b/>
          <w:bCs/>
          <w:color w:val="000000"/>
        </w:rPr>
        <w:t xml:space="preserve"> három munkanappal</w:t>
      </w:r>
      <w:r>
        <w:rPr>
          <w:rFonts w:ascii="Arial" w:eastAsia="Arial" w:hAnsi="Arial" w:cs="Arial"/>
          <w:color w:val="000000"/>
        </w:rPr>
        <w:t xml:space="preserve"> a tolmácsolási eset előtt juttassák el a Tolmácsszolgálatunkhoz.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készenlét ideje alatt a 06/70/930-7249 mobil számon rövid szöveges üzenet (SMS), valamint hívás útján fogadjuk a beérkező megrendeléseket.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D6D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27" w:name="_heading=h.uezzcxt7cpsc" w:colFirst="0" w:colLast="0"/>
      <w:bookmarkEnd w:id="27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A szolgáltatásunk megrendelésének visszaigazolása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bookmarkStart w:id="28" w:name="_heading=h.u5g1vadq69ui" w:colFirst="0" w:colLast="0"/>
      <w:bookmarkEnd w:id="28"/>
      <w:r>
        <w:rPr>
          <w:rFonts w:ascii="Arial" w:eastAsia="Arial" w:hAnsi="Arial" w:cs="Arial"/>
          <w:color w:val="000000"/>
        </w:rPr>
        <w:t xml:space="preserve">Tolmácsszolgálatunk a – legalább a tolmácsolás helyszínét, időpontját, feladategységben meghatározott tervezett időtartamát, a tolmácsolási módot, továbbá a tolmácsszolgáltatási fajtát tartalmazó – megrendeléseket visszaigazolja. 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bookmarkStart w:id="29" w:name="_heading=h.7bv9mouu46mb" w:colFirst="0" w:colLast="0"/>
      <w:bookmarkEnd w:id="29"/>
      <w:r>
        <w:rPr>
          <w:rFonts w:ascii="Arial" w:eastAsia="Arial" w:hAnsi="Arial" w:cs="Arial"/>
          <w:color w:val="000000"/>
        </w:rPr>
        <w:t>A személyesen leadott megrendeléseket azonnal, a nem személyesen leadott megrendeléseket 3 órán belül igazoljuk vissza. Ezt követően a Tolmácsszolgálatunk 72 órán belül értesíti a megrendelőt a tolmácsolást ellátó jelnyelvi tolmács személyéről.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 térítésmentes jelnyelvi tolmácsolási esetről a módszertani központ által rendszeresített munkalapot kell kiállítani, amelyen a tolmácsolás megtörténtét, a tolmácsolás időtartamát az </w:t>
      </w:r>
      <w:proofErr w:type="spellStart"/>
      <w:r>
        <w:rPr>
          <w:rFonts w:ascii="Arial" w:eastAsia="Arial" w:hAnsi="Arial" w:cs="Arial"/>
          <w:color w:val="000000"/>
        </w:rPr>
        <w:t>igénybevevő</w:t>
      </w:r>
      <w:proofErr w:type="spellEnd"/>
      <w:r>
        <w:rPr>
          <w:rFonts w:ascii="Arial" w:eastAsia="Arial" w:hAnsi="Arial" w:cs="Arial"/>
          <w:color w:val="000000"/>
        </w:rPr>
        <w:t xml:space="preserve">, a tolmácsolást végző jelnyelvi tolmács és - 120 percet meghaladó tolmácsolási időtartam esetén - a tolmácsolási helyzetben részt vevő, jelen lévő harmadik fél képviselője is aláírásával igazolja. 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Online tolmácsolás esetén az ügyfél aláírásának hiányában az ügyfél aláírása az általa megküldött visszaigazolással történik.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30" w:name="_heading=h.btayhqehb2p8" w:colFirst="0" w:colLast="0"/>
      <w:bookmarkEnd w:id="30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A megrendelés lemondásának módja és határideje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D6D9D">
      <w:pPr>
        <w:spacing w:after="0" w:line="240" w:lineRule="auto"/>
        <w:ind w:left="1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Az igénybe vevőnek, illetve a megrendelőnek kötelessége az alábbi esetekben a Tolmácsszolgálatot értesíteni az elérhetőségeinken:</w:t>
      </w:r>
    </w:p>
    <w:p w:rsidR="00521BB9" w:rsidRDefault="005D6D9D">
      <w:pPr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521BB9" w:rsidRDefault="005D6D9D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tolmácsolási helyzetben bekövetkező változásokról (helyszín, időpont stb.), </w:t>
      </w:r>
    </w:p>
    <w:p w:rsidR="00521BB9" w:rsidRDefault="005D6D9D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tolmácsolási </w:t>
      </w:r>
      <w:proofErr w:type="gramStart"/>
      <w:r>
        <w:rPr>
          <w:rFonts w:ascii="Arial" w:eastAsia="Arial" w:hAnsi="Arial" w:cs="Arial"/>
        </w:rPr>
        <w:t>szituáció</w:t>
      </w:r>
      <w:proofErr w:type="gramEnd"/>
      <w:r>
        <w:rPr>
          <w:rFonts w:ascii="Arial" w:eastAsia="Arial" w:hAnsi="Arial" w:cs="Arial"/>
        </w:rPr>
        <w:t xml:space="preserve"> körülményeiről (tolmácsolás típusa)</w:t>
      </w:r>
    </w:p>
    <w:p w:rsidR="00521BB9" w:rsidRDefault="005D6D9D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Amennyiben a már megrendelt tolmácsolást szeretné lemondani, kérjük, hogy azt legkésőbb 24 órával a tolmácsolás megkezdése előtt, hirtelen bekövetkező esemény </w:t>
      </w:r>
      <w:r>
        <w:rPr>
          <w:rFonts w:ascii="Arial" w:eastAsia="Arial" w:hAnsi="Arial" w:cs="Arial"/>
          <w:color w:val="000000"/>
        </w:rPr>
        <w:lastRenderedPageBreak/>
        <w:t xml:space="preserve">esetén (baleset, hirtelen betegség stb.) pedig a lehető legrövidebb időn belül jelezzék. </w:t>
      </w:r>
    </w:p>
    <w:p w:rsidR="00521BB9" w:rsidRDefault="00521BB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21BB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  <w:u w:val="single"/>
        </w:rPr>
        <w:t>FIGYELEM:</w:t>
      </w:r>
    </w:p>
    <w:p w:rsidR="00521BB9" w:rsidRDefault="005D6D9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Abban az esetben, ha az ügyfél nem jelenik meg a tolmácsolási helyszínen, a kirendelt tolmács 20 perc várakozási idő után elhagyja a helyszínt.</w:t>
      </w:r>
    </w:p>
    <w:p w:rsidR="00521BB9" w:rsidRDefault="00521BB9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</w:p>
    <w:p w:rsidR="00521BB9" w:rsidRDefault="005D6D9D">
      <w:pPr>
        <w:widowControl w:val="0"/>
        <w:spacing w:after="0" w:line="240" w:lineRule="auto"/>
        <w:ind w:left="142"/>
        <w:jc w:val="both"/>
        <w:rPr>
          <w:rFonts w:ascii="Arial" w:eastAsia="Arial" w:hAnsi="Arial" w:cs="Arial"/>
          <w:b/>
          <w:bCs/>
        </w:rPr>
      </w:pPr>
      <w:proofErr w:type="gramStart"/>
      <w:r>
        <w:rPr>
          <w:rFonts w:ascii="Arial" w:eastAsia="Arial" w:hAnsi="Arial" w:cs="Arial"/>
        </w:rPr>
        <w:t>Ha az igénybe vevő, illetve a megrendelő a térítésmentes jelnyelvi tolmácsolásra vonatkozó megrendelését a tolmácsolás kezdő időpontját megelőző 12 órán belül mondja le, vagy a tolmácsolás kért helyszínén és időpontjában nem jelenik meg, a lemondás, illetve a megjelenés elmaradása tényének írásban történő rögzítése mellett, az igénybe vevő – illetve akinek kérésére, és jogosultságára tekintettel a megrendelő a tolmácsolást megrendelte – órakeretéből a tolmácsolás feladategységben meghatározott tervezett időtartamának megfelelő idő levonásra kerül.</w:t>
      </w:r>
      <w:proofErr w:type="gramEnd"/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31" w:name="_heading=h.injinl9pl8ed" w:colFirst="0" w:colLast="0"/>
      <w:bookmarkEnd w:id="31"/>
      <w:r>
        <w:rPr>
          <w:rFonts w:ascii="Arial" w:eastAsia="Arial" w:hAnsi="Arial" w:cs="Arial"/>
          <w:b/>
          <w:bCs/>
          <w:color w:val="000000"/>
          <w:sz w:val="26"/>
          <w:szCs w:val="26"/>
        </w:rPr>
        <w:t>Szolgáltatásainkkal, Jelnyelvi Tolmácsszolgálatunk munkatársaival kapcsolatos észrevételek és panaszok befogadásának és kezelésének rendje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D6D9D">
      <w:pPr>
        <w:tabs>
          <w:tab w:val="left" w:pos="360"/>
          <w:tab w:val="left" w:pos="540"/>
        </w:tabs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tolmácsokkal és a teljesített tolmácsolásokkal kapcsolatban tapasztaltakat, észrevételeket, esetleges panaszaikat az alábbi módon és helyen jelezhetik a szolgálat és annak fenntartója felé. A szolgálat működése felett a </w:t>
      </w:r>
      <w:r>
        <w:rPr>
          <w:rFonts w:ascii="Arial" w:eastAsia="Arial" w:hAnsi="Arial" w:cs="Arial"/>
          <w:b/>
          <w:bCs/>
        </w:rPr>
        <w:t>felügyeletet a SINOSZ gyakorolja</w:t>
      </w:r>
      <w:r>
        <w:rPr>
          <w:rFonts w:ascii="Arial" w:eastAsia="Arial" w:hAnsi="Arial" w:cs="Arial"/>
        </w:rPr>
        <w:t>.</w:t>
      </w:r>
    </w:p>
    <w:p w:rsidR="00521BB9" w:rsidRDefault="00521BB9">
      <w:pPr>
        <w:spacing w:after="0" w:line="240" w:lineRule="auto"/>
        <w:jc w:val="both"/>
        <w:rPr>
          <w:rFonts w:ascii="Arial" w:eastAsia="Arial" w:hAnsi="Arial" w:cs="Arial"/>
        </w:rPr>
      </w:pPr>
    </w:p>
    <w:p w:rsidR="00521BB9" w:rsidRDefault="005D6D9D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 panaszt a szolgálat szakmai vezetőjéhez írásban lehet benyújtani</w:t>
      </w:r>
      <w:r>
        <w:rPr>
          <w:rFonts w:ascii="Arial" w:eastAsia="Arial" w:hAnsi="Arial" w:cs="Arial"/>
        </w:rPr>
        <w:t>. (</w:t>
      </w:r>
      <w:hyperlink r:id="rId13">
        <w:r>
          <w:rPr>
            <w:rFonts w:ascii="Arial" w:eastAsia="Arial" w:hAnsi="Arial" w:cs="Arial"/>
            <w:color w:val="0000FF"/>
            <w:u w:val="single"/>
          </w:rPr>
          <w:t>bacsjtsz@sinosz.hu</w:t>
        </w:r>
      </w:hyperlink>
      <w:r>
        <w:rPr>
          <w:rFonts w:ascii="Arial" w:eastAsia="Arial" w:hAnsi="Arial" w:cs="Arial"/>
        </w:rPr>
        <w:t>)</w:t>
      </w:r>
    </w:p>
    <w:p w:rsidR="00521BB9" w:rsidRDefault="00521BB9">
      <w:pPr>
        <w:spacing w:after="0" w:line="240" w:lineRule="auto"/>
        <w:jc w:val="both"/>
        <w:rPr>
          <w:rFonts w:ascii="Arial" w:eastAsia="Arial" w:hAnsi="Arial" w:cs="Arial"/>
          <w:b/>
          <w:bCs/>
        </w:rPr>
      </w:pPr>
    </w:p>
    <w:p w:rsidR="00521BB9" w:rsidRDefault="005D6D9D">
      <w:pPr>
        <w:spacing w:after="0" w:line="240" w:lineRule="auto"/>
        <w:jc w:val="both"/>
        <w:rPr>
          <w:rFonts w:ascii="Arial" w:eastAsia="Arial" w:hAnsi="Arial" w:cs="Arial"/>
          <w:b/>
          <w:bCs/>
          <w:color w:val="800000"/>
        </w:rPr>
      </w:pPr>
      <w:r>
        <w:rPr>
          <w:rFonts w:ascii="Arial" w:eastAsia="Arial" w:hAnsi="Arial" w:cs="Arial"/>
          <w:b/>
          <w:bCs/>
        </w:rPr>
        <w:t xml:space="preserve">A beérkezett panaszra írásban válaszolunk, mely tartalmazza a foganatosított intézkedéseket. </w:t>
      </w:r>
      <w:r>
        <w:rPr>
          <w:rFonts w:ascii="Arial" w:eastAsia="Arial" w:hAnsi="Arial" w:cs="Arial"/>
        </w:rPr>
        <w:t xml:space="preserve">A panaszról illetőleg az ezzel kapcsolatos eljárásról, továbbá a válaszról tájékoztatást kap a fenntartó. Amennyiben a panaszt benyújtó a válasszal nem ért egyet, a szolgálatvezetőtől kérhet eljárást, ebben az esetben </w:t>
      </w:r>
      <w:proofErr w:type="gramStart"/>
      <w:r>
        <w:rPr>
          <w:rFonts w:ascii="Arial" w:eastAsia="Arial" w:hAnsi="Arial" w:cs="Arial"/>
        </w:rPr>
        <w:t>ad hoc</w:t>
      </w:r>
      <w:proofErr w:type="gramEnd"/>
      <w:r>
        <w:rPr>
          <w:rFonts w:ascii="Arial" w:eastAsia="Arial" w:hAnsi="Arial" w:cs="Arial"/>
        </w:rPr>
        <w:t xml:space="preserve"> bizottság - melynek tagjai közül legalább egynek más megyében dolgozó tolmácsnak kell lenni- is alakítható, amelynek feladata a panasz kivizsgálása.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color w:val="000000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:rsidR="00521BB9" w:rsidRDefault="005D6D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32" w:name="_heading=h.uip7n855kmd" w:colFirst="0" w:colLast="0"/>
      <w:bookmarkEnd w:id="32"/>
      <w:r>
        <w:rPr>
          <w:rFonts w:ascii="Arial" w:eastAsia="Arial" w:hAnsi="Arial" w:cs="Arial"/>
          <w:b/>
          <w:bCs/>
          <w:color w:val="000000"/>
          <w:sz w:val="26"/>
          <w:szCs w:val="26"/>
        </w:rPr>
        <w:t>Jelnyelvi Tolmácsszolgálatunk fenntartójának megnevezése, székhelye, valamint a képviseletére jogosultak nevei és elérhetőségei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Tolmácsszolgálatunk fenntartója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</w:rPr>
        <w:tab/>
        <w:t xml:space="preserve">Siketek és Nagyothallók Országos Szövetsége </w:t>
      </w:r>
    </w:p>
    <w:p w:rsidR="00521BB9" w:rsidRDefault="005D6D9D">
      <w:pPr>
        <w:widowControl w:val="0"/>
        <w:spacing w:after="0" w:line="240" w:lineRule="auto"/>
        <w:ind w:left="2690"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1068 Budapest, Benczúr u.21.</w:t>
      </w:r>
    </w:p>
    <w:p w:rsidR="00521BB9" w:rsidRDefault="00521BB9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</w:rPr>
      </w:pPr>
    </w:p>
    <w:p w:rsidR="00521BB9" w:rsidRDefault="005D6D9D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Képviseletre jogosult személy: </w:t>
      </w:r>
      <w:r>
        <w:rPr>
          <w:rFonts w:ascii="Arial" w:eastAsia="Arial" w:hAnsi="Arial" w:cs="Arial"/>
        </w:rPr>
        <w:tab/>
      </w:r>
    </w:p>
    <w:p w:rsidR="00521BB9" w:rsidRDefault="005D6D9D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Csetneki Csilla országos elnök: </w:t>
      </w:r>
      <w:hyperlink r:id="rId14">
        <w:r>
          <w:rPr>
            <w:rFonts w:ascii="Arial" w:eastAsia="Arial" w:hAnsi="Arial" w:cs="Arial"/>
            <w:color w:val="0000FF"/>
            <w:u w:val="single"/>
          </w:rPr>
          <w:t>csetneki.csilla@sinosz.hu</w:t>
        </w:r>
      </w:hyperlink>
    </w:p>
    <w:p w:rsidR="00521BB9" w:rsidRDefault="00521BB9">
      <w:pPr>
        <w:widowControl w:val="0"/>
        <w:tabs>
          <w:tab w:val="left" w:pos="5245"/>
        </w:tabs>
        <w:spacing w:after="0" w:line="240" w:lineRule="auto"/>
        <w:ind w:left="1416" w:firstLine="707"/>
        <w:jc w:val="both"/>
        <w:rPr>
          <w:rFonts w:ascii="Arial" w:eastAsia="Arial" w:hAnsi="Arial" w:cs="Arial"/>
        </w:rPr>
      </w:pPr>
    </w:p>
    <w:p w:rsidR="00521BB9" w:rsidRDefault="005D6D9D">
      <w:pPr>
        <w:widowControl w:val="0"/>
        <w:tabs>
          <w:tab w:val="left" w:pos="5245"/>
        </w:tabs>
        <w:spacing w:after="0" w:line="240" w:lineRule="auto"/>
        <w:ind w:left="1416" w:firstLine="70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521BB9" w:rsidRDefault="005D6D9D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                                                      </w:t>
      </w:r>
    </w:p>
    <w:p w:rsidR="00521BB9" w:rsidRDefault="00521BB9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  <w:b/>
          <w:bCs/>
        </w:rPr>
      </w:pPr>
    </w:p>
    <w:p w:rsidR="00521BB9" w:rsidRDefault="00521BB9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  <w:b/>
          <w:bCs/>
        </w:rPr>
      </w:pPr>
    </w:p>
    <w:p w:rsidR="00521BB9" w:rsidRDefault="00521BB9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  <w:b/>
          <w:bCs/>
        </w:rPr>
      </w:pPr>
    </w:p>
    <w:p w:rsidR="00521BB9" w:rsidRDefault="00521BB9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  <w:b/>
          <w:bCs/>
        </w:rPr>
      </w:pPr>
    </w:p>
    <w:p w:rsidR="00521BB9" w:rsidRDefault="00521BB9">
      <w:pPr>
        <w:widowControl w:val="0"/>
        <w:spacing w:after="0" w:line="240" w:lineRule="auto"/>
        <w:ind w:left="360"/>
        <w:rPr>
          <w:rFonts w:ascii="Arial" w:eastAsia="Arial" w:hAnsi="Arial" w:cs="Arial"/>
          <w:b/>
          <w:bCs/>
        </w:rPr>
      </w:pPr>
    </w:p>
    <w:p w:rsidR="00521BB9" w:rsidRDefault="005D6D9D">
      <w:pPr>
        <w:widowControl w:val="0"/>
        <w:spacing w:after="0" w:line="240" w:lineRule="auto"/>
        <w:ind w:left="4608" w:firstLine="348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  </w:t>
      </w:r>
      <w:r>
        <w:rPr>
          <w:rFonts w:ascii="Arial" w:eastAsia="Arial" w:hAnsi="Arial" w:cs="Arial"/>
        </w:rPr>
        <w:t>__________________________</w:t>
      </w:r>
    </w:p>
    <w:p w:rsidR="00521BB9" w:rsidRDefault="005D6D9D">
      <w:pPr>
        <w:widowControl w:val="0"/>
        <w:spacing w:after="0" w:line="240" w:lineRule="auto"/>
        <w:ind w:left="35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Marton Orsolya                                                     </w:t>
      </w:r>
    </w:p>
    <w:p w:rsidR="00521BB9" w:rsidRDefault="005D6D9D">
      <w:pPr>
        <w:widowControl w:val="0"/>
        <w:spacing w:after="0" w:line="240" w:lineRule="auto"/>
        <w:ind w:left="35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</w:t>
      </w:r>
      <w:proofErr w:type="gramStart"/>
      <w:r>
        <w:rPr>
          <w:rFonts w:ascii="Arial" w:eastAsia="Arial" w:hAnsi="Arial" w:cs="Arial"/>
        </w:rPr>
        <w:t>szakmai</w:t>
      </w:r>
      <w:proofErr w:type="gramEnd"/>
      <w:r>
        <w:rPr>
          <w:rFonts w:ascii="Arial" w:eastAsia="Arial" w:hAnsi="Arial" w:cs="Arial"/>
        </w:rPr>
        <w:t xml:space="preserve"> vezető</w:t>
      </w:r>
    </w:p>
    <w:p w:rsidR="00521BB9" w:rsidRDefault="005D6D9D">
      <w:pPr>
        <w:widowControl w:val="0"/>
        <w:spacing w:after="0" w:line="240" w:lineRule="auto"/>
        <w:ind w:left="35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</w:t>
      </w:r>
      <w:bookmarkStart w:id="33" w:name="_GoBack"/>
      <w:bookmarkEnd w:id="33"/>
    </w:p>
    <w:p w:rsidR="00521BB9" w:rsidRDefault="005D6D9D">
      <w:pPr>
        <w:widowControl w:val="0"/>
        <w:spacing w:after="0" w:line="240" w:lineRule="auto"/>
        <w:ind w:left="357"/>
      </w:pPr>
      <w:r>
        <w:rPr>
          <w:rFonts w:ascii="Arial" w:eastAsia="Arial" w:hAnsi="Arial" w:cs="Arial"/>
          <w:b/>
          <w:bCs/>
        </w:rPr>
        <w:t>Kecskemét,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 xml:space="preserve">2026. </w:t>
      </w:r>
      <w:r w:rsidR="0053501F">
        <w:rPr>
          <w:rFonts w:ascii="Arial" w:eastAsia="Arial" w:hAnsi="Arial" w:cs="Arial"/>
          <w:b/>
          <w:bCs/>
        </w:rPr>
        <w:t>június</w:t>
      </w:r>
      <w:r w:rsidR="00AA0D57">
        <w:rPr>
          <w:rFonts w:ascii="Arial" w:eastAsia="Arial" w:hAnsi="Arial" w:cs="Arial"/>
          <w:b/>
          <w:bCs/>
        </w:rPr>
        <w:t xml:space="preserve"> 1.</w:t>
      </w:r>
    </w:p>
    <w:sectPr w:rsidR="00521BB9">
      <w:footerReference w:type="default" r:id="rId15"/>
      <w:pgSz w:w="11907" w:h="16840"/>
      <w:pgMar w:top="1134" w:right="850" w:bottom="1134" w:left="1179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0A63" w:rsidRDefault="00B80A63">
      <w:pPr>
        <w:spacing w:after="0" w:line="240" w:lineRule="auto"/>
      </w:pPr>
      <w:r>
        <w:separator/>
      </w:r>
    </w:p>
  </w:endnote>
  <w:endnote w:type="continuationSeparator" w:id="0">
    <w:p w:rsidR="00B80A63" w:rsidRDefault="00B80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A42534CF-2563-4393-8156-D16F1A4CA73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963BAE58-3B52-4F35-B58C-F333301B5728}"/>
    <w:embedBold r:id="rId3" w:fontKey="{988DBF23-3BB6-4500-BA65-EBB1ED4DC91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6CADAD6-55C7-49B3-947B-AB113B902EDC}"/>
    <w:embedBold r:id="rId5" w:fontKey="{EED25992-E481-4F69-BD22-7377047C687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23F63295-013E-4DED-84FC-DF758D968367}"/>
  </w:font>
  <w:font w:name="Thorndale">
    <w:panose1 w:val="00000000000000000000"/>
    <w:charset w:val="00"/>
    <w:family w:val="roman"/>
    <w:notTrueType/>
    <w:pitch w:val="default"/>
  </w:font>
  <w:font w:name="HG Mincho Light J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32FE1F88-A5D0-4124-AC55-D098B4C9FA1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1BB9" w:rsidRDefault="005D6D9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3501F">
      <w:rPr>
        <w:noProof/>
        <w:color w:val="000000"/>
      </w:rPr>
      <w:t>11</w:t>
    </w:r>
    <w:r>
      <w:rPr>
        <w:color w:val="000000"/>
      </w:rPr>
      <w:fldChar w:fldCharType="end"/>
    </w:r>
  </w:p>
  <w:p w:rsidR="00521BB9" w:rsidRDefault="00521B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0A63" w:rsidRDefault="00B80A63">
      <w:pPr>
        <w:spacing w:after="0" w:line="240" w:lineRule="auto"/>
      </w:pPr>
      <w:r>
        <w:separator/>
      </w:r>
    </w:p>
  </w:footnote>
  <w:footnote w:type="continuationSeparator" w:id="0">
    <w:p w:rsidR="00B80A63" w:rsidRDefault="00B80A63">
      <w:pPr>
        <w:spacing w:after="0" w:line="240" w:lineRule="auto"/>
      </w:pPr>
      <w:r>
        <w:continuationSeparator/>
      </w:r>
    </w:p>
  </w:footnote>
  <w:footnote w:id="1"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Sürgős megrendelés: az igénybe vevő életét, testi épségét, egészségét vagy vagyonát veszélyeztető helyzet, és az azonnali hatósági intézkedés miatt történő megrendelés, amennyiben a sürgősség alapjául szolgáló körülményt a megrendelő vagy az igénybe vevő a megrendeléskor jelzi a tolmácsszolgálatnak.</w:t>
      </w:r>
    </w:p>
  </w:footnote>
  <w:footnote w:id="2"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Feladategység: a Tolmácsszolgálat által nyújtott jelnyelvi tolmácsszolgáltatás minden megkezdett 15 perce.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B114F"/>
    <w:multiLevelType w:val="multilevel"/>
    <w:tmpl w:val="91807DA6"/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4E00CA"/>
    <w:multiLevelType w:val="multilevel"/>
    <w:tmpl w:val="EAFC70F6"/>
    <w:lvl w:ilvl="0">
      <w:start w:val="3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53646"/>
    <w:multiLevelType w:val="multilevel"/>
    <w:tmpl w:val="BF1C30B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140F9"/>
    <w:multiLevelType w:val="multilevel"/>
    <w:tmpl w:val="C1AECF4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5A4E56"/>
    <w:multiLevelType w:val="multilevel"/>
    <w:tmpl w:val="E24E615C"/>
    <w:lvl w:ilvl="0">
      <w:start w:val="1"/>
      <w:numFmt w:val="decimal"/>
      <w:lvlText w:val="%1."/>
      <w:lvlJc w:val="left"/>
      <w:pPr>
        <w:ind w:left="1095" w:hanging="37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E24F0E"/>
    <w:multiLevelType w:val="multilevel"/>
    <w:tmpl w:val="00CE2260"/>
    <w:lvl w:ilvl="0">
      <w:start w:val="1"/>
      <w:numFmt w:val="decimal"/>
      <w:lvlText w:val="%1."/>
      <w:lvlJc w:val="left"/>
      <w:pPr>
        <w:ind w:left="1353" w:hanging="359"/>
      </w:pPr>
    </w:lvl>
    <w:lvl w:ilvl="1">
      <w:start w:val="1"/>
      <w:numFmt w:val="lowerLetter"/>
      <w:lvlText w:val="%2."/>
      <w:lvlJc w:val="left"/>
      <w:pPr>
        <w:ind w:left="2215" w:hanging="360"/>
      </w:pPr>
    </w:lvl>
    <w:lvl w:ilvl="2">
      <w:start w:val="1"/>
      <w:numFmt w:val="lowerLetter"/>
      <w:lvlText w:val="%3)"/>
      <w:lvlJc w:val="left"/>
      <w:pPr>
        <w:ind w:left="3115" w:hanging="360"/>
      </w:pPr>
      <w:rPr>
        <w:i/>
        <w:iCs/>
      </w:rPr>
    </w:lvl>
    <w:lvl w:ilvl="3">
      <w:start w:val="1"/>
      <w:numFmt w:val="decimal"/>
      <w:lvlText w:val="%4."/>
      <w:lvlJc w:val="left"/>
      <w:pPr>
        <w:ind w:left="3655" w:hanging="360"/>
      </w:pPr>
    </w:lvl>
    <w:lvl w:ilvl="4">
      <w:start w:val="1"/>
      <w:numFmt w:val="lowerLetter"/>
      <w:lvlText w:val="%5."/>
      <w:lvlJc w:val="left"/>
      <w:pPr>
        <w:ind w:left="4375" w:hanging="360"/>
      </w:pPr>
    </w:lvl>
    <w:lvl w:ilvl="5">
      <w:start w:val="1"/>
      <w:numFmt w:val="lowerRoman"/>
      <w:lvlText w:val="%6."/>
      <w:lvlJc w:val="right"/>
      <w:pPr>
        <w:ind w:left="5095" w:hanging="180"/>
      </w:pPr>
    </w:lvl>
    <w:lvl w:ilvl="6">
      <w:start w:val="1"/>
      <w:numFmt w:val="decimal"/>
      <w:lvlText w:val="%7."/>
      <w:lvlJc w:val="left"/>
      <w:pPr>
        <w:ind w:left="5815" w:hanging="360"/>
      </w:pPr>
    </w:lvl>
    <w:lvl w:ilvl="7">
      <w:start w:val="1"/>
      <w:numFmt w:val="lowerLetter"/>
      <w:lvlText w:val="%8."/>
      <w:lvlJc w:val="left"/>
      <w:pPr>
        <w:ind w:left="6535" w:hanging="360"/>
      </w:pPr>
    </w:lvl>
    <w:lvl w:ilvl="8">
      <w:start w:val="1"/>
      <w:numFmt w:val="lowerRoman"/>
      <w:lvlText w:val="%9."/>
      <w:lvlJc w:val="right"/>
      <w:pPr>
        <w:ind w:left="7255" w:hanging="180"/>
      </w:pPr>
    </w:lvl>
  </w:abstractNum>
  <w:abstractNum w:abstractNumId="6" w15:restartNumberingAfterBreak="0">
    <w:nsid w:val="4A876EB3"/>
    <w:multiLevelType w:val="multilevel"/>
    <w:tmpl w:val="227666B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D27D5D"/>
    <w:multiLevelType w:val="multilevel"/>
    <w:tmpl w:val="3B12B1F4"/>
    <w:lvl w:ilvl="0">
      <w:start w:val="1"/>
      <w:numFmt w:val="bullet"/>
      <w:lvlText w:val="✔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3FD1247"/>
    <w:multiLevelType w:val="multilevel"/>
    <w:tmpl w:val="CC60207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180"/>
      </w:pPr>
      <w:rPr>
        <w:i/>
        <w:iCs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864858"/>
    <w:multiLevelType w:val="multilevel"/>
    <w:tmpl w:val="5436106E"/>
    <w:lvl w:ilvl="0">
      <w:start w:val="1"/>
      <w:numFmt w:val="bullet"/>
      <w:lvlText w:val="✔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2291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1"/>
  </w:num>
  <w:num w:numId="5">
    <w:abstractNumId w:val="0"/>
  </w:num>
  <w:num w:numId="6">
    <w:abstractNumId w:val="7"/>
  </w:num>
  <w:num w:numId="7">
    <w:abstractNumId w:val="4"/>
  </w:num>
  <w:num w:numId="8">
    <w:abstractNumId w:val="6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BB9"/>
    <w:rsid w:val="004F5791"/>
    <w:rsid w:val="00521BB9"/>
    <w:rsid w:val="0053501F"/>
    <w:rsid w:val="005B1BA3"/>
    <w:rsid w:val="005D6D9D"/>
    <w:rsid w:val="00613483"/>
    <w:rsid w:val="00AA0D57"/>
    <w:rsid w:val="00B80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B64B2"/>
  <w15:docId w15:val="{64C25644-C959-421D-ABED-A929017DA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  <w:bCs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7A481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uborkszveg">
    <w:name w:val="Balloon Text"/>
    <w:link w:val="BuborkszvegChar"/>
    <w:uiPriority w:val="99"/>
    <w:semiHidden/>
    <w:unhideWhenUsed/>
    <w:rsid w:val="007A4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481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uiPriority w:val="9"/>
    <w:rsid w:val="00C540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uiPriority w:val="39"/>
    <w:unhideWhenUsed/>
    <w:qFormat/>
    <w:rsid w:val="00C540EA"/>
  </w:style>
  <w:style w:type="paragraph" w:styleId="lfej">
    <w:name w:val="header"/>
    <w:link w:val="lfejChar"/>
    <w:uiPriority w:val="99"/>
    <w:unhideWhenUsed/>
    <w:rsid w:val="00574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74023"/>
  </w:style>
  <w:style w:type="paragraph" w:styleId="llb">
    <w:name w:val="footer"/>
    <w:link w:val="llbChar"/>
    <w:uiPriority w:val="99"/>
    <w:unhideWhenUsed/>
    <w:rsid w:val="00574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74023"/>
  </w:style>
  <w:style w:type="paragraph" w:styleId="TJ1">
    <w:name w:val="toc 1"/>
    <w:autoRedefine/>
    <w:uiPriority w:val="39"/>
    <w:unhideWhenUsed/>
    <w:qFormat/>
    <w:rsid w:val="001D4F58"/>
    <w:pPr>
      <w:tabs>
        <w:tab w:val="left" w:pos="9214"/>
      </w:tabs>
      <w:spacing w:after="100"/>
      <w:ind w:left="426" w:right="238" w:hanging="426"/>
    </w:pPr>
  </w:style>
  <w:style w:type="paragraph" w:styleId="TJ2">
    <w:name w:val="toc 2"/>
    <w:autoRedefine/>
    <w:uiPriority w:val="39"/>
    <w:unhideWhenUsed/>
    <w:qFormat/>
    <w:rsid w:val="003F6764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3F6764"/>
    <w:rPr>
      <w:color w:val="0000FF" w:themeColor="hyperlink"/>
      <w:u w:val="single"/>
    </w:rPr>
  </w:style>
  <w:style w:type="paragraph" w:customStyle="1" w:styleId="Style1">
    <w:name w:val="Style 1"/>
    <w:rsid w:val="00100C9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Normlangol">
    <w:name w:val="Normál angol"/>
    <w:rsid w:val="00100C9A"/>
    <w:pPr>
      <w:widowControl w:val="0"/>
      <w:suppressAutoHyphens/>
      <w:spacing w:after="0" w:line="240" w:lineRule="auto"/>
      <w:jc w:val="both"/>
    </w:pPr>
    <w:rPr>
      <w:rFonts w:ascii="Thorndale" w:eastAsia="HG Mincho Light J" w:hAnsi="Thorndale" w:cs="Times New Roman"/>
      <w:color w:val="000000"/>
      <w:sz w:val="24"/>
      <w:szCs w:val="24"/>
      <w:lang w:val="en-GB"/>
    </w:rPr>
  </w:style>
  <w:style w:type="paragraph" w:styleId="Listaszerbekezds">
    <w:name w:val="List Paragraph"/>
    <w:uiPriority w:val="34"/>
    <w:qFormat/>
    <w:rsid w:val="009D5866"/>
    <w:pPr>
      <w:ind w:left="720"/>
      <w:contextualSpacing/>
    </w:pPr>
  </w:style>
  <w:style w:type="paragraph" w:styleId="Lbjegyzetszveg">
    <w:name w:val="footnote text"/>
    <w:link w:val="LbjegyzetszvegChar"/>
    <w:uiPriority w:val="99"/>
    <w:semiHidden/>
    <w:unhideWhenUsed/>
    <w:rsid w:val="009D5866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9D5866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9D5866"/>
    <w:rPr>
      <w:vertAlign w:val="superscript"/>
    </w:rPr>
  </w:style>
  <w:style w:type="paragraph" w:customStyle="1" w:styleId="Tblzattartalom">
    <w:name w:val="Táblázattartalom"/>
    <w:basedOn w:val="Szvegtrzs"/>
    <w:rsid w:val="005965A7"/>
    <w:pPr>
      <w:widowControl w:val="0"/>
      <w:suppressLineNumbers/>
      <w:suppressAutoHyphens/>
      <w:spacing w:line="240" w:lineRule="auto"/>
    </w:pPr>
    <w:rPr>
      <w:rFonts w:ascii="Thorndale" w:eastAsia="HG Mincho Light J" w:hAnsi="Thorndale" w:cs="Times New Roman"/>
      <w:color w:val="000000"/>
      <w:sz w:val="24"/>
      <w:szCs w:val="24"/>
    </w:rPr>
  </w:style>
  <w:style w:type="paragraph" w:customStyle="1" w:styleId="Tblzatfejlc">
    <w:name w:val="Táblázatfejléc"/>
    <w:basedOn w:val="Tblzattartalom"/>
    <w:rsid w:val="005965A7"/>
    <w:pPr>
      <w:jc w:val="center"/>
    </w:pPr>
    <w:rPr>
      <w:b/>
      <w:bCs/>
      <w:i/>
      <w:iCs/>
    </w:rPr>
  </w:style>
  <w:style w:type="paragraph" w:styleId="Szvegtrzs">
    <w:name w:val="Body Text"/>
    <w:link w:val="SzvegtrzsChar"/>
    <w:uiPriority w:val="99"/>
    <w:semiHidden/>
    <w:unhideWhenUsed/>
    <w:rsid w:val="005965A7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5965A7"/>
  </w:style>
  <w:style w:type="paragraph" w:styleId="TJ3">
    <w:name w:val="toc 3"/>
    <w:autoRedefine/>
    <w:uiPriority w:val="39"/>
    <w:unhideWhenUsed/>
    <w:qFormat/>
    <w:rsid w:val="00921CCC"/>
    <w:pPr>
      <w:spacing w:after="100"/>
      <w:ind w:left="440"/>
    </w:pPr>
    <w:rPr>
      <w:rFonts w:eastAsiaTheme="minorEastAsia"/>
    </w:rPr>
  </w:style>
  <w:style w:type="paragraph" w:styleId="NormlWeb">
    <w:name w:val="Normal (Web)"/>
    <w:uiPriority w:val="99"/>
    <w:semiHidden/>
    <w:unhideWhenUsed/>
    <w:rsid w:val="006E5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8A5C00"/>
    <w:rPr>
      <w:color w:val="800080" w:themeColor="followed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6D24C2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bacsjtsz@sinosz.hu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mailto:csetneki.csilla@sinosz.h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eRfjdvvpr53DyDjH12ZQGwtZVw==">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CD5EC60-C13F-433D-8742-7F93ACD00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11</Pages>
  <Words>2887</Words>
  <Characters>19927</Characters>
  <Application>Microsoft Office Word</Application>
  <DocSecurity>0</DocSecurity>
  <Lines>166</Lines>
  <Paragraphs>45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Ormódi Róbert</dc:creator>
  <cp:lastModifiedBy>Kiss Dorina</cp:lastModifiedBy>
  <cp:revision>3</cp:revision>
  <dcterms:created xsi:type="dcterms:W3CDTF">2026-01-30T14:11:00Z</dcterms:created>
  <dcterms:modified xsi:type="dcterms:W3CDTF">2026-06-16T07:17:00Z</dcterms:modified>
</cp:coreProperties>
</file>